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4" w:name="F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 xml:space="preserve">FSMS </w:t>
      </w:r>
      <w:bookmarkStart w:id="5" w:name="H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组织名称"/>
            <w:r>
              <w:rPr>
                <w:b/>
                <w:sz w:val="20"/>
              </w:rPr>
              <w:t>成都联虹钼业有限公司</w:t>
            </w:r>
            <w:bookmarkEnd w:id="6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7" w:name="专业代码"/>
            <w:r>
              <w:rPr>
                <w:b/>
                <w:sz w:val="20"/>
              </w:rPr>
              <w:t>2.2</w:t>
            </w:r>
            <w:bookmarkEnd w:id="7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2.2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王宁敏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2565400</wp:posOffset>
                  </wp:positionH>
                  <wp:positionV relativeFrom="paragraph">
                    <wp:posOffset>-2207260</wp:posOffset>
                  </wp:positionV>
                  <wp:extent cx="2472055" cy="2341880"/>
                  <wp:effectExtent l="0" t="0" r="4445" b="7620"/>
                  <wp:wrapSquare wrapText="bothSides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2055" cy="234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-1925320</wp:posOffset>
                  </wp:positionV>
                  <wp:extent cx="2446020" cy="2338705"/>
                  <wp:effectExtent l="0" t="0" r="5080" b="10795"/>
                  <wp:wrapSquare wrapText="bothSides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020" cy="233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主要能源使用：电、天然气、水；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主要能源参数：kgce/kg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中华人民共和国可再生能源法、中华人民共和国节约能源法、中华人民共和国清洁生产促进法、中华人民共和国计量法、关于加强节能工作的决定、节约能源监测管理暂行规定、节约用电管理办法、清洁发展机制项目运行管理办法、国家鼓励发展的资源节约综合利用和环境保护技术、企业能源审计报告和节能规划审核指南、节能减排统计监测及考核实施方案、节能减排综合性工作方案、关于做好中小企业节能减排工作的通知、GB17167-2016、综合能耗计算通则GBT2589-2020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8" w:name="总组长"/>
            <w:r>
              <w:rPr>
                <w:b/>
                <w:sz w:val="20"/>
              </w:rPr>
              <w:t>周涛</w:t>
            </w:r>
            <w:bookmarkEnd w:id="8"/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9" w:name="_GoBack"/>
      <w:bookmarkEnd w:id="9"/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2050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54474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2021-09-08T12:17:55Z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2052-11.1.0.10667</vt:lpwstr>
  </property>
</Properties>
</file>