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四川华盛竹业有限责任公司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06.02.01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邓清梅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断料开片疏解——碳化——浸胶——干燥——胶压——铣型——砂光——包装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</w:t>
            </w:r>
            <w:r>
              <w:rPr>
                <w:rFonts w:hint="eastAsia"/>
                <w:b/>
                <w:sz w:val="20"/>
                <w:lang w:val="en-US" w:eastAsia="zh-CN"/>
              </w:rPr>
              <w:t>/特殊过程：</w:t>
            </w:r>
            <w:r>
              <w:rPr>
                <w:rFonts w:hint="eastAsia"/>
                <w:b/>
                <w:sz w:val="20"/>
                <w:lang w:eastAsia="zh-CN"/>
              </w:rPr>
              <w:t>浸胶、胶压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原材料尺寸长度宽度，干燥过程水分、温度控制，胶压温度压力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等控制风险</w:t>
            </w:r>
            <w:r>
              <w:rPr>
                <w:rFonts w:hint="eastAsia"/>
                <w:b/>
                <w:sz w:val="20"/>
                <w:lang w:eastAsia="zh-CN"/>
              </w:rPr>
              <w:t>，关键过程作业指导书控制措施；人员培训合格上岗，设备定期维护保养。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9" w:name="_GoBack" w:colFirst="2" w:colLast="7"/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结构用竹木复合板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GB/T 21128-2007、竹集成材地板 GB/T 20240-2017、竹单板饰面人造板 GB/T 21129-2007、湿法硬质纤维板 第4部分：干燥条件下使用的普通用板 GB/T 12626.4-2015、湿法硬质纤维板 第1部分：定义和分类 GB/T 12626.1-2009等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检验指标有：含水率、密度、吸水宽度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/厚度膨胀率、水平剪切强度等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bookmark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133350</wp:posOffset>
                  </wp:positionV>
                  <wp:extent cx="516255" cy="338455"/>
                  <wp:effectExtent l="0" t="0" r="17145" b="4445"/>
                  <wp:wrapNone/>
                  <wp:docPr id="1" name="图片 1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B912EA"/>
    <w:rsid w:val="12B806C6"/>
    <w:rsid w:val="2EAF7FF1"/>
    <w:rsid w:val="409F1329"/>
    <w:rsid w:val="691F5169"/>
    <w:rsid w:val="77694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2021-09-06T04:59:55Z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