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611"/>
        <w:gridCol w:w="894"/>
        <w:gridCol w:w="5"/>
        <w:gridCol w:w="494"/>
        <w:gridCol w:w="791"/>
        <w:gridCol w:w="1505"/>
        <w:gridCol w:w="195"/>
        <w:gridCol w:w="855"/>
        <w:gridCol w:w="67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bookmarkStart w:id="9" w:name="_GoBack"/>
            <w:r>
              <w:rPr>
                <w:rFonts w:hint="eastAsia"/>
                <w:b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7" w:name="组织名称"/>
            <w:r>
              <w:rPr>
                <w:b/>
                <w:color w:val="auto"/>
                <w:sz w:val="20"/>
              </w:rPr>
              <w:t>重庆力恒环保工程有限公司</w:t>
            </w:r>
            <w:bookmarkEnd w:id="7"/>
          </w:p>
        </w:tc>
        <w:tc>
          <w:tcPr>
            <w:tcW w:w="255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ind w:left="52"/>
              <w:jc w:val="center"/>
              <w:rPr>
                <w:rFonts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专业小类</w:t>
            </w:r>
            <w:r>
              <w:rPr>
                <w:rFonts w:eastAsia="宋体"/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after="0" w:line="280" w:lineRule="exact"/>
              <w:ind w:left="52"/>
              <w:jc w:val="center"/>
              <w:rPr>
                <w:rFonts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项目代码</w:t>
            </w:r>
          </w:p>
        </w:tc>
        <w:tc>
          <w:tcPr>
            <w:tcW w:w="20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ind w:left="52"/>
              <w:jc w:val="center"/>
              <w:rPr>
                <w:rFonts w:eastAsia="宋体"/>
                <w:b/>
                <w:color w:val="auto"/>
                <w:sz w:val="20"/>
              </w:rPr>
            </w:pPr>
            <w:bookmarkStart w:id="8" w:name="专业代码"/>
            <w:r>
              <w:rPr>
                <w:rFonts w:eastAsia="宋体"/>
                <w:b/>
                <w:color w:val="auto"/>
                <w:sz w:val="20"/>
              </w:rPr>
              <w:t>Q：39.01.00;39.03.01</w:t>
            </w:r>
          </w:p>
          <w:p>
            <w:pPr>
              <w:snapToGrid w:val="0"/>
              <w:spacing w:after="0" w:line="280" w:lineRule="exact"/>
              <w:ind w:left="52"/>
              <w:jc w:val="center"/>
              <w:rPr>
                <w:rFonts w:eastAsia="宋体"/>
                <w:b/>
                <w:color w:val="auto"/>
                <w:sz w:val="20"/>
              </w:rPr>
            </w:pPr>
            <w:r>
              <w:rPr>
                <w:rFonts w:eastAsia="宋体"/>
                <w:b/>
                <w:color w:val="auto"/>
                <w:sz w:val="20"/>
              </w:rPr>
              <w:t>E：39.01.00;39.03.01</w:t>
            </w:r>
          </w:p>
          <w:p>
            <w:pPr>
              <w:snapToGrid w:val="0"/>
              <w:spacing w:after="0" w:line="280" w:lineRule="exact"/>
              <w:ind w:left="52"/>
              <w:jc w:val="center"/>
              <w:rPr>
                <w:rFonts w:eastAsia="宋体"/>
                <w:b/>
                <w:color w:val="auto"/>
                <w:sz w:val="20"/>
              </w:rPr>
            </w:pPr>
            <w:r>
              <w:rPr>
                <w:rFonts w:eastAsia="宋体"/>
                <w:b/>
                <w:color w:val="auto"/>
                <w:sz w:val="20"/>
              </w:rPr>
              <w:t>O：39.01.00;39.03.01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文平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spacing w:after="0" w:line="280" w:lineRule="exact"/>
              <w:ind w:left="52"/>
              <w:jc w:val="center"/>
              <w:rPr>
                <w:rFonts w:hint="eastAsia"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专业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napToGrid w:val="0"/>
              <w:spacing w:after="0" w:line="280" w:lineRule="exact"/>
              <w:ind w:left="52"/>
              <w:jc w:val="center"/>
              <w:rPr>
                <w:rFonts w:hint="eastAsia"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Q：39.01.00;39.03.01</w:t>
            </w:r>
          </w:p>
          <w:p>
            <w:pPr>
              <w:snapToGrid w:val="0"/>
              <w:spacing w:after="0" w:line="280" w:lineRule="exact"/>
              <w:ind w:left="52"/>
              <w:jc w:val="center"/>
              <w:rPr>
                <w:rFonts w:hint="eastAsia"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E：39.01.00;39.03.01</w:t>
            </w:r>
          </w:p>
          <w:p>
            <w:pPr>
              <w:snapToGrid w:val="0"/>
              <w:spacing w:after="0" w:line="280" w:lineRule="exact"/>
              <w:ind w:left="52"/>
              <w:jc w:val="center"/>
              <w:rPr>
                <w:rFonts w:hint="eastAsia" w:eastAsia="宋体"/>
                <w:b/>
                <w:color w:val="auto"/>
                <w:sz w:val="20"/>
              </w:rPr>
            </w:pPr>
            <w:r>
              <w:rPr>
                <w:rFonts w:hint="eastAsia" w:eastAsia="宋体"/>
                <w:b/>
                <w:color w:val="auto"/>
                <w:sz w:val="20"/>
              </w:rPr>
              <w:t>O：39.01.00;39.03.01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废水治理、固废治理工艺流程：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合同签订→编制实施方案→岩屑泥浆振动筛脱水→输送至泥浆罐→物化处理→压滤→交由甲方处置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</w:t>
            </w:r>
            <w:r>
              <w:rPr>
                <w:b/>
                <w:color w:val="auto"/>
                <w:sz w:val="20"/>
              </w:rPr>
              <w:t>/</w:t>
            </w: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  <w:r>
              <w:rPr>
                <w:b/>
                <w:color w:val="auto"/>
                <w:sz w:val="20"/>
              </w:rPr>
              <w:t>/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现场运行管理控制主要是药剂添加、设备运行监控、化验分析，可能出现环境污染事故，人员出现职业伤害，如中毒、机械伤害等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1）固废的排放；2）潜在火灾；3）噪声；4）化学试剂的废弃等，采取控制措施和应急预案进行控制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1）火灾；2）意外伤害（中暑、交通事故、触电）；3）机械伤害；4）井喷失控；5）中毒等，采取控制措施和应急预案进行控制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《钻井废弃物无害化处理技术规范》（Q/SY XN 0276-2015）、城镇排水与污水处理服务GB/T 34173-2017、《污水综合排放标准》（GB8978-1996）、《一般工业固体废弃物储存、处置场污染控制标准》GB18599-2001Ⅱ场执行、《烧结普通产品》GB5101-2003等标准和客户技术要求。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</w:t>
            </w:r>
            <w:r>
              <w:rPr>
                <w:b/>
                <w:color w:val="auto"/>
                <w:sz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</w:rPr>
              <w:t>如有型式试验要求</w:t>
            </w:r>
            <w:r>
              <w:rPr>
                <w:b/>
                <w:color w:val="auto"/>
                <w:sz w:val="20"/>
              </w:rPr>
              <w:t>,</w:t>
            </w:r>
            <w:r>
              <w:rPr>
                <w:rFonts w:hint="eastAsia"/>
                <w:b/>
                <w:color w:val="auto"/>
                <w:sz w:val="20"/>
              </w:rPr>
              <w:t>要进行说明</w:t>
            </w:r>
            <w:r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按技术要求约定只检测废水的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PH值，固废的含水率。通过PH试纸、水分测试仪进行检测。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/>
                <w:b/>
                <w:color w:val="auto"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ascii="宋体"/>
                <w:b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158115</wp:posOffset>
                  </wp:positionV>
                  <wp:extent cx="334645" cy="310515"/>
                  <wp:effectExtent l="0" t="0" r="8255" b="6985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2021年09月06日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146685</wp:posOffset>
                  </wp:positionV>
                  <wp:extent cx="334645" cy="310515"/>
                  <wp:effectExtent l="0" t="0" r="8255" b="6985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2021年09月06日</w:t>
            </w:r>
          </w:p>
        </w:tc>
      </w:tr>
      <w:bookmarkEnd w:id="9"/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76952F4"/>
    <w:rsid w:val="431A03A7"/>
    <w:rsid w:val="7A4A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2021-09-08T06:38:45Z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