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700"/>
        <w:gridCol w:w="377"/>
        <w:gridCol w:w="114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bookmarkStart w:id="9" w:name="_GoBack"/>
            <w:r>
              <w:rPr>
                <w:rFonts w:hint="eastAsia"/>
                <w:b/>
                <w:color w:val="auto"/>
                <w:sz w:val="22"/>
                <w:szCs w:val="22"/>
              </w:rPr>
              <w:t>受审核方名称</w:t>
            </w:r>
          </w:p>
        </w:tc>
        <w:tc>
          <w:tcPr>
            <w:tcW w:w="38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bookmarkStart w:id="7" w:name="组织名称"/>
            <w:r>
              <w:rPr>
                <w:b/>
                <w:color w:val="auto"/>
                <w:sz w:val="20"/>
              </w:rPr>
              <w:t>重庆力恒环保工程有限公司</w:t>
            </w:r>
            <w:bookmarkEnd w:id="7"/>
          </w:p>
        </w:tc>
        <w:tc>
          <w:tcPr>
            <w:tcW w:w="20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专业小类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项目代码</w:t>
            </w:r>
          </w:p>
        </w:tc>
        <w:tc>
          <w:tcPr>
            <w:tcW w:w="252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bookmarkStart w:id="8" w:name="专业代码"/>
            <w:r>
              <w:rPr>
                <w:b/>
                <w:color w:val="auto"/>
                <w:sz w:val="20"/>
              </w:rPr>
              <w:t>Q：39.01.00;39.03.01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E：39.01.00;39.03.01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O：39.01.00;39.03.01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Q：39.01.00;39.03.01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张心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7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废水治理、固废治理工艺流程：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合同签订→编制实施方案→岩屑泥浆振动筛脱水→输送至泥浆罐→物化处理→压滤→交由甲方处置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生产过程</w:t>
            </w:r>
            <w:r>
              <w:rPr>
                <w:b/>
                <w:color w:val="auto"/>
                <w:sz w:val="20"/>
              </w:rPr>
              <w:t>/</w:t>
            </w: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特殊过程的控制</w:t>
            </w:r>
            <w:r>
              <w:rPr>
                <w:b/>
                <w:color w:val="auto"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现场运行管理控制主要是药剂添加、设备运行监控、化验分析，可能出现环境污染事故，人员出现职业伤害，如中毒、机械伤害等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1）固废的排放；2）潜在火灾；3）噪声；4）化学试剂的废弃等，采取控制措施和应急预案进行控制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1）火灾；2）意外伤害（中暑、交通事故、触电）；3）机械伤害；4）井喷失控；5）中毒等，采取控制措施和应急预案进行控制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《钻井废弃物无害化处理技术规范》（Q/SY XN 0276-2015）、城镇排水与污水处理服务GB/T 34173-2017、《污水综合排放标准》（GB8978-1996）、《一般工业固体废弃物储存、处置场污染控制标准》GB18599-2001Ⅱ场执行、《烧结普通产品》GB5101-2003等标准和客户技术要求。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检验和试验项目及要求</w:t>
            </w:r>
            <w:r>
              <w:rPr>
                <w:b/>
                <w:color w:val="auto"/>
                <w:sz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</w:rPr>
              <w:t>如有型式试验要求</w:t>
            </w:r>
            <w:r>
              <w:rPr>
                <w:b/>
                <w:color w:val="auto"/>
                <w:sz w:val="20"/>
              </w:rPr>
              <w:t>,</w:t>
            </w:r>
            <w:r>
              <w:rPr>
                <w:rFonts w:hint="eastAsia"/>
                <w:b/>
                <w:color w:val="auto"/>
                <w:sz w:val="20"/>
              </w:rPr>
              <w:t>要进行说明</w:t>
            </w:r>
            <w:r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按技术要求约定只检测废水的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PH值，固废的含水率。通过PH试纸、水分测试仪进行检测。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/>
                <w:b/>
                <w:color w:val="auto"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ascii="宋体"/>
                <w:b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174625</wp:posOffset>
                  </wp:positionV>
                  <wp:extent cx="334645" cy="310515"/>
                  <wp:effectExtent l="0" t="0" r="8255" b="6985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  <w:u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u w:val="none"/>
              </w:rPr>
              <w:t>2021年09月05日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33655</wp:posOffset>
                  </wp:positionV>
                  <wp:extent cx="334645" cy="310515"/>
                  <wp:effectExtent l="0" t="0" r="8255" b="6985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  <w:u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u w:val="none"/>
              </w:rPr>
              <w:t>2021年09月05日</w:t>
            </w:r>
          </w:p>
        </w:tc>
      </w:tr>
      <w:bookmarkEnd w:id="9"/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C93844"/>
    <w:rsid w:val="4BD04E1A"/>
    <w:rsid w:val="4F564164"/>
    <w:rsid w:val="5FE408F7"/>
    <w:rsid w:val="6A252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2021-09-08T06:38:47Z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