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文昌椰富工贸有限公司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spacing w:line="240" w:lineRule="auto"/>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spacing w:line="240" w:lineRule="auto"/>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spacing w:line="240" w:lineRule="auto"/>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auto"/>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spacing w:line="240" w:lineRule="auto"/>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spacing w:line="240" w:lineRule="auto"/>
              <w:ind w:left="70" w:leftChars="29"/>
              <w:rPr>
                <w:rFonts w:hint="eastAsia"/>
                <w:sz w:val="22"/>
                <w:szCs w:val="22"/>
              </w:rPr>
            </w:pPr>
            <w:bookmarkStart w:id="14" w:name="_GoBack"/>
            <w:bookmarkEnd w:id="14"/>
            <w:r>
              <w:rPr>
                <w:rFonts w:hint="eastAsia"/>
                <w:sz w:val="22"/>
                <w:szCs w:val="22"/>
                <w:lang w:eastAsia="zh-CN"/>
              </w:rPr>
              <w:t>☑</w:t>
            </w:r>
            <w:r>
              <w:rPr>
                <w:rFonts w:hint="eastAsia"/>
                <w:sz w:val="22"/>
                <w:szCs w:val="22"/>
              </w:rPr>
              <w:t xml:space="preserve">受审核方管理体系文件 (手册版本号：)  </w:t>
            </w:r>
          </w:p>
          <w:p>
            <w:pPr>
              <w:spacing w:line="240" w:lineRule="auto"/>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spacing w:line="240" w:lineRule="auto"/>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0561-2019-Q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w:t>
            </w:r>
            <w:r>
              <w:rPr>
                <w:rFonts w:hint="eastAsia"/>
                <w:sz w:val="22"/>
                <w:szCs w:val="22"/>
                <w:lang w:eastAsia="zh-CN"/>
              </w:rPr>
              <w:t>☑</w:t>
            </w:r>
            <w:r>
              <w:rPr>
                <w:rFonts w:hint="eastAsia"/>
                <w:sz w:val="22"/>
                <w:szCs w:val="22"/>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rFonts w:hint="eastAsia" w:eastAsia="宋体"/>
                <w:sz w:val="22"/>
                <w:szCs w:val="22"/>
                <w:highlight w:val="yellow"/>
                <w:lang w:val="en-US" w:eastAsia="zh-CN"/>
              </w:rPr>
            </w:pPr>
            <w:r>
              <w:rPr>
                <w:rFonts w:hint="eastAsia"/>
                <w:sz w:val="20"/>
                <w:lang w:val="en-US" w:eastAsia="zh-CN"/>
              </w:rPr>
              <w:t>李俐</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0"/>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2018-N1QMS-1222792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b/>
                <w:sz w:val="22"/>
                <w:szCs w:val="22"/>
                <w:highlight w:val="yellow"/>
              </w:rPr>
            </w:pPr>
            <w:r>
              <w:rPr>
                <w:sz w:val="20"/>
                <w:lang w:val="de-DE"/>
              </w:rPr>
              <w:t>童棉</w:t>
            </w:r>
          </w:p>
        </w:tc>
        <w:tc>
          <w:tcPr>
            <w:tcW w:w="1184" w:type="dxa"/>
            <w:vAlign w:val="center"/>
          </w:tcPr>
          <w:p>
            <w:pPr>
              <w:snapToGrid w:val="0"/>
              <w:spacing w:line="320" w:lineRule="exact"/>
              <w:ind w:left="572"/>
              <w:rPr>
                <w:rFonts w:hint="eastAsia" w:eastAsia="宋体"/>
                <w:b/>
                <w:sz w:val="22"/>
                <w:szCs w:val="22"/>
                <w:highlight w:val="yellow"/>
                <w:lang w:val="en-US" w:eastAsia="zh-CN"/>
              </w:rPr>
            </w:pPr>
            <w:r>
              <w:rPr>
                <w:rFonts w:hint="eastAsia"/>
                <w:sz w:val="20"/>
                <w:lang w:val="en-US" w:eastAsia="zh-CN"/>
              </w:rPr>
              <w:t>专家</w:t>
            </w: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3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2021.9.5</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2021.9.5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-1819910</wp:posOffset>
                  </wp:positionH>
                  <wp:positionV relativeFrom="paragraph">
                    <wp:posOffset>-921385</wp:posOffset>
                  </wp:positionV>
                  <wp:extent cx="7249160" cy="10614660"/>
                  <wp:effectExtent l="0" t="0" r="2540" b="2540"/>
                  <wp:wrapNone/>
                  <wp:docPr id="1" name="图片 1" descr="扫描全能王 2021-09-12 15.12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9-12 15.12_8"/>
                          <pic:cNvPicPr>
                            <a:picLocks noChangeAspect="1"/>
                          </pic:cNvPicPr>
                        </pic:nvPicPr>
                        <pic:blipFill>
                          <a:blip r:embed="rId8"/>
                          <a:stretch>
                            <a:fillRect/>
                          </a:stretch>
                        </pic:blipFill>
                        <pic:spPr>
                          <a:xfrm>
                            <a:off x="0" y="0"/>
                            <a:ext cx="7249160" cy="10614660"/>
                          </a:xfrm>
                          <a:prstGeom prst="rect">
                            <a:avLst/>
                          </a:prstGeom>
                        </pic:spPr>
                      </pic:pic>
                    </a:graphicData>
                  </a:graphic>
                </wp:anchor>
              </w:drawing>
            </w: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rFonts w:hint="eastAsia" w:eastAsia="宋体"/>
                <w:sz w:val="22"/>
                <w:szCs w:val="22"/>
                <w:lang w:eastAsia="zh-CN"/>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2021.9.5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93.5pt;margin-top:11.1pt;height:17.75pt;width:99.8pt;z-index:251660288;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F155C6C"/>
    <w:rsid w:val="6197775E"/>
    <w:rsid w:val="7A543A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2021-09-12T07:42:19Z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