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90289F" w:rsidRDefault="004D5F75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0289F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902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90289F" w:rsidRDefault="004D5F75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B5244" w:rsidRPr="0090289F" w:rsidRDefault="004D5F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主管领导：</w:t>
            </w:r>
            <w:r w:rsidR="006E5DD9">
              <w:rPr>
                <w:rFonts w:asciiTheme="minorEastAsia" w:eastAsiaTheme="minorEastAsia" w:hAnsiTheme="minorEastAsia" w:hint="eastAsia"/>
                <w:sz w:val="24"/>
                <w:szCs w:val="24"/>
              </w:rPr>
              <w:t>宋国瑞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6E5DD9">
              <w:rPr>
                <w:rFonts w:asciiTheme="minorEastAsia" w:eastAsiaTheme="minorEastAsia" w:hAnsiTheme="minorEastAsia" w:hint="eastAsia"/>
                <w:sz w:val="24"/>
                <w:szCs w:val="24"/>
              </w:rPr>
              <w:t>王冬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CB5244" w:rsidRPr="0090289F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 w:rsidP="006E5DD9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6E5DD9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B3508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</w:t>
            </w:r>
            <w:r w:rsidR="00E07F24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E5DD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E5D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B5244" w:rsidRPr="0090289F" w:rsidRDefault="004D5F75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、8.2应急准备和响应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90289F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Pr="0090289F" w:rsidRDefault="002228D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Q/</w:t>
            </w:r>
            <w:r w:rsidR="007234B3">
              <w:rPr>
                <w:rFonts w:asciiTheme="minorEastAsia" w:eastAsiaTheme="minorEastAsia" w:hAnsiTheme="minorEastAsia" w:hint="eastAsia"/>
                <w:sz w:val="24"/>
                <w:szCs w:val="24"/>
              </w:rPr>
              <w:t>E/O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="00B23C31" w:rsidRPr="0090289F">
              <w:rPr>
                <w:rFonts w:asciiTheme="minorEastAsia" w:eastAsiaTheme="minorEastAsia" w:hAnsiTheme="minorEastAsia" w:hint="eastAsia"/>
                <w:sz w:val="24"/>
              </w:rPr>
              <w:t>交付</w:t>
            </w:r>
            <w:r w:rsidRPr="0090289F">
              <w:rPr>
                <w:rFonts w:asciiTheme="minorEastAsia" w:eastAsiaTheme="minorEastAsia" w:hAnsiTheme="minorEastAsia" w:hint="eastAsia"/>
                <w:sz w:val="24"/>
              </w:rPr>
              <w:t>合格率100%；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检验正确率100%；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CB5244" w:rsidRPr="0090289F" w:rsidRDefault="004D5F75" w:rsidP="00640D9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 w:rsidR="00C0376B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2021.6.30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1255"/>
        </w:trPr>
        <w:tc>
          <w:tcPr>
            <w:tcW w:w="1809" w:type="dxa"/>
            <w:vAlign w:val="center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9C4F79" w:rsidRDefault="009C4F79" w:rsidP="00D364D6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D84A82" w:rsidRDefault="009C4F79" w:rsidP="00D84A82">
            <w:pPr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公司所需监视和测量设备主要是</w:t>
            </w:r>
            <w:r w:rsidR="00D84A82">
              <w:rPr>
                <w:rFonts w:asciiTheme="minorEastAsia" w:eastAsiaTheme="minorEastAsia" w:hAnsiTheme="minorEastAsia" w:hint="eastAsia"/>
                <w:sz w:val="24"/>
                <w:szCs w:val="24"/>
              </w:rPr>
              <w:t>钢卷尺、卡尺、</w:t>
            </w:r>
            <w:r w:rsidR="004F7A8B" w:rsidRPr="004F7A8B">
              <w:rPr>
                <w:rFonts w:asciiTheme="minorEastAsia" w:eastAsiaTheme="minorEastAsia" w:hAnsiTheme="minorEastAsia"/>
                <w:sz w:val="24"/>
                <w:szCs w:val="24"/>
              </w:rPr>
              <w:t>硬度计</w:t>
            </w:r>
            <w:r w:rsidR="004F7A8B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、可见分光</w:t>
            </w:r>
            <w:r w:rsidR="004F7A8B" w:rsidRPr="004F7A8B">
              <w:rPr>
                <w:rFonts w:asciiTheme="minorEastAsia" w:eastAsiaTheme="minorEastAsia" w:hAnsiTheme="minorEastAsia"/>
                <w:sz w:val="24"/>
                <w:szCs w:val="24"/>
              </w:rPr>
              <w:t>光度计</w:t>
            </w:r>
            <w:r w:rsidR="004F7A8B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、弹跳疲劳试验机、万能试验机、</w:t>
            </w:r>
            <w:proofErr w:type="gramStart"/>
            <w:r w:rsidR="004F7A8B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碳硫联测</w:t>
            </w:r>
            <w:proofErr w:type="gramEnd"/>
            <w:r w:rsidR="004F7A8B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分析仪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，提供了</w:t>
            </w:r>
            <w:r w:rsidR="00D84A82" w:rsidRPr="004F7A8B">
              <w:rPr>
                <w:rFonts w:asciiTheme="minorEastAsia" w:eastAsiaTheme="minorEastAsia" w:hAnsiTheme="minorEastAsia"/>
                <w:sz w:val="24"/>
                <w:szCs w:val="24"/>
              </w:rPr>
              <w:t>硬度计</w:t>
            </w:r>
            <w:r w:rsidR="00D84A82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、可见分光</w:t>
            </w:r>
            <w:r w:rsidR="00D84A82" w:rsidRPr="004F7A8B">
              <w:rPr>
                <w:rFonts w:asciiTheme="minorEastAsia" w:eastAsiaTheme="minorEastAsia" w:hAnsiTheme="minorEastAsia"/>
                <w:sz w:val="24"/>
                <w:szCs w:val="24"/>
              </w:rPr>
              <w:t>光度计</w:t>
            </w:r>
            <w:r w:rsidR="00D84A82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、弹跳疲劳试验机、万能试验机、</w:t>
            </w:r>
            <w:proofErr w:type="gramStart"/>
            <w:r w:rsidR="00D84A82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碳硫联测</w:t>
            </w:r>
            <w:proofErr w:type="gramEnd"/>
            <w:r w:rsidR="00D84A82" w:rsidRP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分析仪</w:t>
            </w:r>
            <w:r w:rsidR="00D84A82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校准证书，校准日期202</w:t>
            </w:r>
            <w:r w:rsid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F7A8B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日，在有效期内，见附件。</w:t>
            </w:r>
          </w:p>
          <w:p w:rsidR="00D84A82" w:rsidRDefault="00D84A82" w:rsidP="00D84A82">
            <w:pPr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质检部负责人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宋国瑞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介绍由于钢卷尺和卡尺是常见量具且采购的产品对尺寸要求容许误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差较宽，所以</w:t>
            </w:r>
            <w:r w:rsidR="007F728F">
              <w:rPr>
                <w:rFonts w:asciiTheme="minorEastAsia" w:eastAsiaTheme="minorEastAsia" w:hAnsiTheme="minorEastAsia" w:hint="eastAsia"/>
                <w:sz w:val="24"/>
                <w:szCs w:val="24"/>
              </w:rPr>
              <w:t>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没有进行校准，采取使用有合格</w:t>
            </w:r>
            <w:r w:rsidR="00460E7E">
              <w:rPr>
                <w:rFonts w:asciiTheme="minorEastAsia" w:eastAsiaTheme="minorEastAsia" w:hAnsiTheme="minorEastAsia" w:hint="eastAsia"/>
                <w:sz w:val="24"/>
                <w:szCs w:val="24"/>
              </w:rPr>
              <w:t>证的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钢卷尺和卡尺，如有损坏马上更换新的合格量具</w:t>
            </w:r>
            <w:r w:rsidR="007F728F">
              <w:rPr>
                <w:rFonts w:asciiTheme="minorEastAsia" w:eastAsiaTheme="minorEastAsia" w:hAnsiTheme="minorEastAsia" w:hint="eastAsia"/>
                <w:sz w:val="24"/>
                <w:szCs w:val="24"/>
              </w:rPr>
              <w:t>的方式进行管理，针对量具的管理要求进行了沟通，已建议企业也对钢卷尺和卡尺进行定期校准</w:t>
            </w:r>
            <w:r w:rsidR="003D1C51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，并开具了观察项（建议项</w:t>
            </w:r>
            <w:r w:rsidR="003D1C5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3D1C51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</w:t>
            </w:r>
            <w:r w:rsidR="00CA0415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，下次监督审核时继续关注此问题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C4F79" w:rsidRDefault="009C4F79" w:rsidP="00D84A82">
            <w:pPr>
              <w:spacing w:line="360" w:lineRule="auto"/>
              <w:ind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无失准和自校情况。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1255"/>
        </w:trPr>
        <w:tc>
          <w:tcPr>
            <w:tcW w:w="1809" w:type="dxa"/>
            <w:vAlign w:val="center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Q8.6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C4F79" w:rsidRPr="0090289F" w:rsidRDefault="009C4F79">
            <w:pPr>
              <w:spacing w:line="360" w:lineRule="auto"/>
              <w:ind w:rightChars="-3" w:right="-6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9C4F79" w:rsidRPr="0090289F" w:rsidRDefault="009C4F79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（2）产品检验：检验依据《采购物资检验规范》。</w:t>
            </w:r>
          </w:p>
          <w:p w:rsidR="00CA0415" w:rsidRDefault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提供了“尺寸及外观检验记录表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多份，</w:t>
            </w:r>
          </w:p>
          <w:p w:rsidR="009C4F79" w:rsidRDefault="009C4F7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CA0415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2021.7.21日的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 w:rsidR="00CA0415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，产品名称铁垫板，对产品的规格尺寸和外观进行了检验，结果合格，检验员王亚庆。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减震器下层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马海涛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，产品名称减震器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层，对产品的规格尺寸和外观进行了检验，结果合格，检验员马海涛。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平垫圈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2021.7.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双层弹簧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垫圈，对产品的规格尺寸和外观进行了检验，结果合格，检验员马海涛。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紧固螺栓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橡胶垫板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轨下垫板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CA0415" w:rsidRDefault="00CA0415" w:rsidP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F6290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F6290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 w:rsidR="00F6290C">
              <w:rPr>
                <w:rFonts w:asciiTheme="minorEastAsia" w:eastAsiaTheme="minorEastAsia" w:hAnsiTheme="minorEastAsia" w:hint="eastAsia"/>
                <w:sz w:val="24"/>
                <w:szCs w:val="24"/>
              </w:rPr>
              <w:t>弹条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</w:t>
            </w:r>
            <w:r w:rsidR="00F6290C">
              <w:rPr>
                <w:rFonts w:asciiTheme="minorEastAsia" w:eastAsiaTheme="minorEastAsia" w:hAnsiTheme="minorEastAsia" w:hint="eastAsia"/>
                <w:sz w:val="24"/>
                <w:szCs w:val="24"/>
              </w:rPr>
              <w:t>王英华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防脱护轨弯头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2021.8.6日的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钢弹簧浮置板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，对产品的规格尺寸和外观进行了检验，结果合格，检验员马海涛。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疏散平台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，对产品的规格尺寸和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冲击强度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阻尼钢轨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止水带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，产品名称止水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 w:rsidR="00A40ACE">
              <w:rPr>
                <w:rFonts w:asciiTheme="minorEastAsia" w:eastAsiaTheme="minorEastAsia" w:hAnsiTheme="minorEastAsia" w:hint="eastAsia"/>
                <w:sz w:val="24"/>
                <w:szCs w:val="24"/>
              </w:rPr>
              <w:t>桥梁支座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、材质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进行了检验，结果合格，检验员马海涛。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2021.8.19日的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，产品名称减隔振支座，对产品的外观、材质进行了检验，结果合格，检验员马海涛。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2021.8.1日的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轨枕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建筑固定支座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隔音吸音板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沥青防水材料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建筑构件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，对产品的外观、材质进行了检验，结果合格，检验员马海涛。</w:t>
            </w:r>
          </w:p>
          <w:p w:rsidR="00A40ACE" w:rsidRDefault="00A40ACE" w:rsidP="00A40ACE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2021.8.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9日的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混凝土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构件，对产品的外观、材质进行了检验，结果合格，检验员马海涛。</w:t>
            </w:r>
          </w:p>
          <w:p w:rsidR="00CA0415" w:rsidRDefault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A0415" w:rsidRDefault="004E000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提供“弹条硬度、残余变形检验报告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4E000C" w:rsidRPr="004E000C" w:rsidRDefault="004E000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抽查2021.3.8日检验报告，对B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型弹条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洛氏硬度和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残余变形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</w:t>
            </w:r>
            <w:r w:rsidR="002A7694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结果合格，</w:t>
            </w:r>
            <w:r w:rsidR="0067663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检验员潘连竹。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螺旋道钉性能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检验报告”，</w:t>
            </w:r>
          </w:p>
          <w:p w:rsidR="0067663F" w:rsidRPr="004E000C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抽查2021.3.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日检验报告，对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24X195螺旋道钉的拉伸性能和冷弯性能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进行了检验，结果合格，检验员潘连竹。</w:t>
            </w:r>
          </w:p>
          <w:p w:rsidR="0067663F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铁垫板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检验报告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”，</w:t>
            </w:r>
          </w:p>
          <w:p w:rsidR="0067663F" w:rsidRPr="004E000C" w:rsidRDefault="0067663F" w:rsidP="0067663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日检验报告，对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DT-III铁垫板的抗拉强度、屈服强度、硬度等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进行了检验，结果合格，检验员潘连竹。</w:t>
            </w:r>
          </w:p>
          <w:p w:rsidR="00CA0415" w:rsidRDefault="00CA041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C4F79" w:rsidRPr="0090289F" w:rsidRDefault="009C4F79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（3）该公司对商品销售及销售服务过程进行了质量控制的规定。</w:t>
            </w:r>
          </w:p>
          <w:p w:rsidR="009C4F79" w:rsidRPr="008A0D12" w:rsidRDefault="009C4F79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提供了“产品销售服务质量检查报告”，定期对包装、产品规格、数量、销售流程、服务人员态度、售后服务等进行检查，抽查</w:t>
            </w:r>
            <w:r w:rsidR="009A6935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9A6935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9A6935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日、2021.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日检查结果，正常，检查人</w:t>
            </w:r>
            <w:r w:rsidR="009A6935">
              <w:rPr>
                <w:rFonts w:asciiTheme="minorEastAsia" w:eastAsiaTheme="minorEastAsia" w:hAnsiTheme="minorEastAsia" w:hint="eastAsia"/>
                <w:sz w:val="24"/>
                <w:szCs w:val="24"/>
              </w:rPr>
              <w:t>王冬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C4F79" w:rsidRPr="0090289F" w:rsidRDefault="009C4F79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（4）产品发货前开具发货单，发货人员核对产品名称、规格、数量、外观质量状况，无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误后准许发货。</w:t>
            </w:r>
          </w:p>
          <w:p w:rsidR="009C4F79" w:rsidRPr="0090289F" w:rsidRDefault="009C4F79">
            <w:pPr>
              <w:pStyle w:val="ad"/>
              <w:spacing w:line="360" w:lineRule="auto"/>
              <w:ind w:left="0" w:firstLine="482"/>
              <w:rPr>
                <w:rFonts w:asciiTheme="minorEastAsia" w:eastAsiaTheme="minorEastAsia" w:hAnsiTheme="minorEastAsia" w:cs="楷体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1968"/>
        </w:trPr>
        <w:tc>
          <w:tcPr>
            <w:tcW w:w="1809" w:type="dxa"/>
            <w:vAlign w:val="center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/>
                <w:sz w:val="24"/>
                <w:szCs w:val="24"/>
              </w:rPr>
              <w:t>8.7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C4F79" w:rsidRPr="0090289F" w:rsidRDefault="009C4F7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公司制定并执行了《不合格品控制程序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.CX09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823963" w:rsidRDefault="00823963" w:rsidP="008239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检验人员介绍采购检验时发现的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不合格品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采取直接退换货的方式，但是没有形成记录。</w:t>
            </w:r>
          </w:p>
          <w:p w:rsidR="009C4F79" w:rsidRPr="0090289F" w:rsidRDefault="00823963" w:rsidP="008239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1968"/>
        </w:trPr>
        <w:tc>
          <w:tcPr>
            <w:tcW w:w="1809" w:type="dxa"/>
            <w:vAlign w:val="center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C4F79" w:rsidRPr="0090289F" w:rsidRDefault="009C4F7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质检部依据《环境因素识别与评价控制程序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》、《危险源辩识风险评价控制程序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》对办公过程及检验过程对环境因素、危险源进行了辨识和评价。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查到“环境因素识别评价汇总表”，识别了质检部在办公、检验等各有关过程的环境因素，包括办公纸张消耗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、水电消耗、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固废排放、不合格品排放等环境因素。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办公室负责按规定处置，日常监督检查和培训教育，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灭火器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等措施。</w:t>
            </w:r>
          </w:p>
          <w:p w:rsidR="009C4F79" w:rsidRPr="0090289F" w:rsidRDefault="009C4F79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查到“危险源识别及风险评价表”，识别了办公电器漏电、火灾、碰伤等危险源。</w:t>
            </w:r>
          </w:p>
          <w:p w:rsidR="009C4F79" w:rsidRPr="0090289F" w:rsidRDefault="009C4F79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经评价涉及质检部门的不可接受危险源：触电、火灾、人身伤害事故的发生。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戴手套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、日常检查、日常培训教育等运行控制措施。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具体见EO8.1条款审核记录。</w:t>
            </w:r>
          </w:p>
          <w:p w:rsidR="009C4F79" w:rsidRPr="0090289F" w:rsidRDefault="009C4F79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2110"/>
        </w:trPr>
        <w:tc>
          <w:tcPr>
            <w:tcW w:w="1809" w:type="dxa"/>
            <w:vAlign w:val="center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《废弃物处理管理规定》、《用电防护规定》、《卫生管理规定》、《员工健康管理规定》、《员工劳动安全和防护规定》、《应急预案》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等环境与安全管理制度。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 w:rsidR="00C31358">
              <w:rPr>
                <w:rFonts w:asciiTheme="minorEastAsia" w:eastAsiaTheme="minorEastAsia" w:hAnsiTheme="minorEastAsia" w:cs="楷体"/>
                <w:sz w:val="24"/>
                <w:szCs w:val="24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</w:t>
            </w:r>
            <w:r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>产品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产品的检验采取查验合格证、外观、</w:t>
            </w:r>
            <w:r w:rsidR="008239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规格、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数量、包装的方式进行</w:t>
            </w:r>
            <w:r w:rsidR="008239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，有客户需要时再进行产品性能检验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。检验时严格遵守公司的规章制度，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避免制造噪声，固废统一存放在指定位置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C4F79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823963" w:rsidRPr="0090289F" w:rsidRDefault="0082396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操作电子仪器设备时先检查线路和电源的安全性，避免触电和机械伤害。</w:t>
            </w:r>
          </w:p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部门办公产生的废纸等废弃物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由办公室统一处理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9C4F79" w:rsidRPr="0090289F" w:rsidRDefault="009C4F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F79" w:rsidRPr="0090289F">
        <w:trPr>
          <w:trHeight w:val="392"/>
        </w:trPr>
        <w:tc>
          <w:tcPr>
            <w:tcW w:w="1809" w:type="dxa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C4F79" w:rsidRPr="0090289F" w:rsidRDefault="009C4F79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9C4F79" w:rsidRPr="0090289F" w:rsidRDefault="009C4F7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公司制定实施了《应急准备和响应控制程序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ZS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》，制定了火灾、触电、人员伤亡应急预案。</w:t>
            </w:r>
          </w:p>
          <w:p w:rsidR="009C4F79" w:rsidRDefault="009C4F79" w:rsidP="00B03FC3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2021.5.</w:t>
            </w:r>
            <w:r w:rsidR="008239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9C4F79" w:rsidRPr="0090289F" w:rsidRDefault="009C4F79" w:rsidP="00245F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bookmarkStart w:id="0" w:name="_GoBack"/>
            <w:bookmarkEnd w:id="0"/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9C4F79" w:rsidRPr="0090289F" w:rsidRDefault="009C4F79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1585" w:type="dxa"/>
          </w:tcPr>
          <w:p w:rsidR="009C4F79" w:rsidRPr="0090289F" w:rsidRDefault="009C4F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5244" w:rsidRPr="0090289F" w:rsidRDefault="004D5F75">
      <w:pPr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/>
        </w:rPr>
        <w:ptab w:relativeTo="margin" w:alignment="center" w:leader="none"/>
      </w:r>
    </w:p>
    <w:p w:rsidR="00CB5244" w:rsidRPr="0090289F" w:rsidRDefault="00CB5244">
      <w:pPr>
        <w:rPr>
          <w:rFonts w:asciiTheme="minorEastAsia" w:eastAsiaTheme="minorEastAsia" w:hAnsiTheme="minorEastAsia"/>
        </w:rPr>
      </w:pPr>
    </w:p>
    <w:p w:rsidR="00CB5244" w:rsidRPr="0090289F" w:rsidRDefault="004D5F75">
      <w:pPr>
        <w:pStyle w:val="a5"/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 w:hint="eastAsia"/>
        </w:rPr>
        <w:t>说明：不符合标注N</w:t>
      </w:r>
    </w:p>
    <w:sectPr w:rsidR="00CB5244" w:rsidRPr="0090289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F0" w:rsidRDefault="00345DF0">
      <w:r>
        <w:separator/>
      </w:r>
    </w:p>
  </w:endnote>
  <w:endnote w:type="continuationSeparator" w:id="0">
    <w:p w:rsidR="00345DF0" w:rsidRDefault="003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E5DD9" w:rsidRDefault="006E5DD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396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396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5DD9" w:rsidRDefault="006E5D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F0" w:rsidRDefault="00345DF0">
      <w:r>
        <w:separator/>
      </w:r>
    </w:p>
  </w:footnote>
  <w:footnote w:type="continuationSeparator" w:id="0">
    <w:p w:rsidR="00345DF0" w:rsidRDefault="0034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D9" w:rsidRDefault="006E5DD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E5DD9" w:rsidRDefault="006E5DD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E5DD9" w:rsidRDefault="006E5DD9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6E5DD9" w:rsidRDefault="006E5DD9"/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E5DD9" w:rsidRDefault="006E5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2086"/>
    <w:rsid w:val="00064ED6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F1925"/>
    <w:rsid w:val="001F27C6"/>
    <w:rsid w:val="00202BC2"/>
    <w:rsid w:val="002048C8"/>
    <w:rsid w:val="00204D13"/>
    <w:rsid w:val="00205626"/>
    <w:rsid w:val="00210D64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694"/>
    <w:rsid w:val="002A7FCD"/>
    <w:rsid w:val="002B1808"/>
    <w:rsid w:val="002B3508"/>
    <w:rsid w:val="002C1ACE"/>
    <w:rsid w:val="002C3E0D"/>
    <w:rsid w:val="002C3E9B"/>
    <w:rsid w:val="002C512F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5DF0"/>
    <w:rsid w:val="003470CC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1C51"/>
    <w:rsid w:val="003D6BE3"/>
    <w:rsid w:val="003D7EB0"/>
    <w:rsid w:val="003E0E52"/>
    <w:rsid w:val="003E6A48"/>
    <w:rsid w:val="003E72C3"/>
    <w:rsid w:val="003E7994"/>
    <w:rsid w:val="003F20A5"/>
    <w:rsid w:val="003F2ED5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0E7E"/>
    <w:rsid w:val="00465FE1"/>
    <w:rsid w:val="00475491"/>
    <w:rsid w:val="0048639E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000C"/>
    <w:rsid w:val="004E2D75"/>
    <w:rsid w:val="004E600E"/>
    <w:rsid w:val="004F185D"/>
    <w:rsid w:val="004F5A12"/>
    <w:rsid w:val="004F755A"/>
    <w:rsid w:val="004F7A8B"/>
    <w:rsid w:val="0050076C"/>
    <w:rsid w:val="00501150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7663F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5DD9"/>
    <w:rsid w:val="006E678B"/>
    <w:rsid w:val="006F0B19"/>
    <w:rsid w:val="006F7044"/>
    <w:rsid w:val="0070367F"/>
    <w:rsid w:val="00706325"/>
    <w:rsid w:val="00712F3C"/>
    <w:rsid w:val="00715709"/>
    <w:rsid w:val="00716892"/>
    <w:rsid w:val="007170AA"/>
    <w:rsid w:val="007234B3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28F"/>
    <w:rsid w:val="007F7DF2"/>
    <w:rsid w:val="008018BA"/>
    <w:rsid w:val="00802E50"/>
    <w:rsid w:val="008079FA"/>
    <w:rsid w:val="00810D58"/>
    <w:rsid w:val="00823963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A6935"/>
    <w:rsid w:val="009B2C22"/>
    <w:rsid w:val="009B3B60"/>
    <w:rsid w:val="009B7741"/>
    <w:rsid w:val="009B7EB8"/>
    <w:rsid w:val="009C2A5B"/>
    <w:rsid w:val="009C4F79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1AB7"/>
    <w:rsid w:val="00A320DB"/>
    <w:rsid w:val="00A40ACE"/>
    <w:rsid w:val="00A42CB8"/>
    <w:rsid w:val="00A433DF"/>
    <w:rsid w:val="00A5468C"/>
    <w:rsid w:val="00A55DA1"/>
    <w:rsid w:val="00A67DB6"/>
    <w:rsid w:val="00A801DE"/>
    <w:rsid w:val="00A84E66"/>
    <w:rsid w:val="00A86DE5"/>
    <w:rsid w:val="00A90A22"/>
    <w:rsid w:val="00A93D72"/>
    <w:rsid w:val="00A97734"/>
    <w:rsid w:val="00AA7F40"/>
    <w:rsid w:val="00AB41FC"/>
    <w:rsid w:val="00AB7D2F"/>
    <w:rsid w:val="00AC0707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294E"/>
    <w:rsid w:val="00BD3588"/>
    <w:rsid w:val="00BE04BE"/>
    <w:rsid w:val="00BE7BA6"/>
    <w:rsid w:val="00BF597E"/>
    <w:rsid w:val="00BF6286"/>
    <w:rsid w:val="00C03098"/>
    <w:rsid w:val="00C0376B"/>
    <w:rsid w:val="00C14685"/>
    <w:rsid w:val="00C150A5"/>
    <w:rsid w:val="00C16684"/>
    <w:rsid w:val="00C31358"/>
    <w:rsid w:val="00C31C73"/>
    <w:rsid w:val="00C3333D"/>
    <w:rsid w:val="00C46FBC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0B77"/>
    <w:rsid w:val="00C920A9"/>
    <w:rsid w:val="00C93EC1"/>
    <w:rsid w:val="00CA0415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84A82"/>
    <w:rsid w:val="00D92333"/>
    <w:rsid w:val="00D934A7"/>
    <w:rsid w:val="00D95B20"/>
    <w:rsid w:val="00DA0DF0"/>
    <w:rsid w:val="00DC0E1F"/>
    <w:rsid w:val="00DD1C8E"/>
    <w:rsid w:val="00DD705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41CEF"/>
    <w:rsid w:val="00F5281E"/>
    <w:rsid w:val="00F606E1"/>
    <w:rsid w:val="00F6290C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B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8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688</cp:revision>
  <dcterms:created xsi:type="dcterms:W3CDTF">2015-06-17T12:51:00Z</dcterms:created>
  <dcterms:modified xsi:type="dcterms:W3CDTF">2021-09-05T05:06:00Z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