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51435</wp:posOffset>
            </wp:positionV>
            <wp:extent cx="171196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1757" cy="1901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  <w:szCs w:val="32"/>
        </w:rPr>
        <w:t>：</w:t>
      </w:r>
      <w:bookmarkStart w:id="1" w:name="组织名称"/>
      <w:r>
        <w:rPr>
          <w:rFonts w:hint="eastAsia" w:ascii="宋体" w:hAnsi="宋体"/>
          <w:sz w:val="32"/>
          <w:szCs w:val="32"/>
          <w:u w:val="single"/>
        </w:rPr>
        <w:t>江苏省镔鑫钢铁集团有限公司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   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</w:rPr>
        <w:t>00</w:t>
      </w:r>
      <w:r>
        <w:rPr>
          <w:rFonts w:hint="eastAsia" w:ascii="宋体" w:hAnsi="宋体"/>
          <w:sz w:val="32"/>
          <w:lang w:val="en-US" w:eastAsia="zh-CN"/>
        </w:rPr>
        <w:t>88</w:t>
      </w:r>
      <w:r>
        <w:rPr>
          <w:rFonts w:hint="eastAsia" w:ascii="宋体" w:hAnsi="宋体"/>
          <w:sz w:val="32"/>
        </w:rPr>
        <w:t>-2017-2021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spacing w:line="360" w:lineRule="auto"/>
        <w:jc w:val="left"/>
        <w:rPr>
          <w:rFonts w:ascii="宋体" w:hAnsi="宋体"/>
          <w:sz w:val="32"/>
        </w:rPr>
      </w:pP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24"/>
          <w:szCs w:val="24"/>
          <w:u w:val="single"/>
        </w:rPr>
        <w:t>00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  <w:u w:val="single"/>
          <w:lang w:val="en-US" w:eastAsia="zh-CN"/>
        </w:rPr>
        <w:t>88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  <w:u w:val="single"/>
        </w:rPr>
        <w:t>-2017-2021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2744"/>
        <w:gridCol w:w="1661"/>
        <w:gridCol w:w="3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06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企业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274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江苏省镔鑫钢铁集团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有限公司</w:t>
            </w:r>
          </w:p>
        </w:tc>
        <w:tc>
          <w:tcPr>
            <w:tcW w:w="1661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企业联系人</w:t>
            </w:r>
          </w:p>
        </w:tc>
        <w:tc>
          <w:tcPr>
            <w:tcW w:w="3109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bookmarkStart w:id="4" w:name="联系人"/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吴建中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706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认证证书编号</w:t>
            </w:r>
          </w:p>
        </w:tc>
        <w:tc>
          <w:tcPr>
            <w:tcW w:w="274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bookmarkStart w:id="5" w:name="证书编号"/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ISC-2017-0173</w:t>
            </w:r>
            <w:bookmarkEnd w:id="5"/>
          </w:p>
        </w:tc>
        <w:tc>
          <w:tcPr>
            <w:tcW w:w="1661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证书有效期</w:t>
            </w:r>
          </w:p>
        </w:tc>
        <w:tc>
          <w:tcPr>
            <w:tcW w:w="3109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bookmarkStart w:id="6" w:name="证书有效期"/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2022-11-19 0:00:00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06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监督审核次数</w:t>
            </w:r>
          </w:p>
        </w:tc>
        <w:tc>
          <w:tcPr>
            <w:tcW w:w="2744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bookmarkStart w:id="7" w:name="监督次数"/>
            <w:bookmarkEnd w:id="7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次</w:t>
            </w:r>
          </w:p>
        </w:tc>
        <w:tc>
          <w:tcPr>
            <w:tcW w:w="1661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本次监督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时间</w:t>
            </w:r>
          </w:p>
        </w:tc>
        <w:tc>
          <w:tcPr>
            <w:tcW w:w="3109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2021年9月2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日上午～2021年9月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26日下午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706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监督审核员姓名及确认号</w:t>
            </w:r>
          </w:p>
        </w:tc>
        <w:tc>
          <w:tcPr>
            <w:tcW w:w="2744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刘复荣ISC[S]0376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汪宁艺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ISC[S]0297</w:t>
            </w:r>
          </w:p>
        </w:tc>
        <w:tc>
          <w:tcPr>
            <w:tcW w:w="1661" w:type="dxa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监督审核涉及的区域或部门</w:t>
            </w:r>
          </w:p>
        </w:tc>
        <w:tc>
          <w:tcPr>
            <w:tcW w:w="310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管理层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计量质检部、设备部、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人力资源部、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生产技术部、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安环部、能源管理中心、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仓储中心、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炼钢厂、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轧钢厂、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高线厂、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eastAsia="zh-CN"/>
              </w:rPr>
              <w:t>物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资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原料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采购部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销售部、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炼铁厂、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烧结厂、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原料加工厂、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制氧厂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Times New Roman" w:hAnsi="Times New Roman" w:eastAsia="宋体" w:cs="Times New Roman"/>
          <w:b/>
          <w:bCs w:val="0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kern w:val="0"/>
          <w:szCs w:val="21"/>
        </w:rPr>
        <w:t>1.一年内违反法律法规或重大事故的情况：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kern w:val="24"/>
          <w:szCs w:val="21"/>
        </w:rPr>
      </w:pPr>
      <w:r>
        <w:rPr>
          <w:rFonts w:hint="eastAsia" w:ascii="Times New Roman" w:hAnsi="Times New Roman" w:eastAsia="宋体" w:cs="Times New Roman"/>
          <w:bCs/>
          <w:color w:val="auto"/>
          <w:kern w:val="0"/>
          <w:szCs w:val="21"/>
          <w:lang w:val="en-US" w:eastAsia="zh-CN"/>
        </w:rPr>
        <w:t>一年来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，公司日常运行中生产经营平稳，企业未有违反法律、法规问题和产品质量问题的投诉或重大质量事故发生。企业营业执照等资质未发生变化。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  <w:lang w:val="en-US" w:eastAsia="zh-CN"/>
        </w:rPr>
        <w:t>对</w:t>
      </w:r>
      <w:r>
        <w:rPr>
          <w:rFonts w:hint="default" w:ascii="Times New Roman" w:hAnsi="Times New Roman" w:eastAsia="宋体" w:cs="Times New Roman"/>
          <w:color w:val="auto"/>
          <w:kern w:val="24"/>
          <w:szCs w:val="21"/>
        </w:rPr>
        <w:t>公司一年来</w:t>
      </w:r>
      <w:r>
        <w:rPr>
          <w:rFonts w:hint="default" w:ascii="Times New Roman" w:hAnsi="Times New Roman" w:eastAsia="宋体" w:cs="Times New Roman"/>
          <w:color w:val="auto"/>
          <w:kern w:val="24"/>
          <w:szCs w:val="21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color w:val="auto"/>
          <w:kern w:val="24"/>
          <w:szCs w:val="21"/>
        </w:rPr>
        <w:t>重点工作</w:t>
      </w:r>
      <w:r>
        <w:rPr>
          <w:rFonts w:hint="default" w:ascii="Times New Roman" w:hAnsi="Times New Roman" w:eastAsia="宋体" w:cs="Times New Roman"/>
          <w:color w:val="auto"/>
          <w:kern w:val="24"/>
          <w:szCs w:val="21"/>
          <w:lang w:val="en-US" w:eastAsia="zh-CN"/>
        </w:rPr>
        <w:t>进行审核</w:t>
      </w:r>
      <w:r>
        <w:rPr>
          <w:rFonts w:hint="eastAsia" w:ascii="Times New Roman" w:hAnsi="Times New Roman" w:eastAsia="宋体" w:cs="Times New Roman"/>
          <w:color w:val="auto"/>
          <w:kern w:val="24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kern w:val="0"/>
          <w:szCs w:val="21"/>
        </w:rPr>
      </w:pPr>
      <w:r>
        <w:rPr>
          <w:rFonts w:hint="default" w:ascii="Times New Roman" w:hAnsi="Times New Roman" w:eastAsia="宋体" w:cs="Times New Roman"/>
          <w:bCs/>
          <w:kern w:val="0"/>
          <w:szCs w:val="21"/>
        </w:rPr>
        <w:t>为有效评价</w:t>
      </w:r>
      <w:r>
        <w:rPr>
          <w:rFonts w:hint="eastAsia" w:ascii="宋体" w:hAnsi="宋体"/>
          <w:sz w:val="21"/>
          <w:szCs w:val="21"/>
          <w:u w:val="none"/>
        </w:rPr>
        <w:t>江苏省镔鑫钢铁集团有限公司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测量管理体系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自上次监督审核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后一年以来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运行情况，审核组先后抽查了涉及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eastAsia="zh-CN"/>
        </w:rPr>
        <w:t>企业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测量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管理体系内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Cs w:val="21"/>
          <w:lang w:val="en-US" w:eastAsia="zh-CN"/>
        </w:rPr>
        <w:t>16个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  <w:lang w:val="en-US" w:eastAsia="zh-CN"/>
        </w:rPr>
        <w:t>职能部门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，覆盖了企业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管理、生产、经营、质量和环境等方面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eastAsia="zh-CN"/>
        </w:rPr>
        <w:t>。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企业的能源计量器具的配备率及准确度等级均满足GB17167-2006标准要求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该企业不是重点耗能单位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eastAsia="zh-CN"/>
        </w:rPr>
        <w:t>；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重点抽查</w:t>
      </w:r>
      <w:r>
        <w:rPr>
          <w:rFonts w:hint="default" w:ascii="Times New Roman" w:hAnsi="Times New Roman" w:eastAsia="宋体" w:cs="Times New Roman"/>
          <w:szCs w:val="21"/>
        </w:rPr>
        <w:t>了</w:t>
      </w:r>
      <w:r>
        <w:rPr>
          <w:rFonts w:hint="default" w:ascii="Times New Roman" w:hAnsi="Times New Roman" w:eastAsia="宋体" w:cs="Times New Roman"/>
          <w:szCs w:val="21"/>
          <w:lang w:eastAsia="zh-CN"/>
        </w:rPr>
        <w:t>企业</w:t>
      </w:r>
      <w:r>
        <w:rPr>
          <w:rFonts w:hint="default" w:ascii="Times New Roman" w:hAnsi="Times New Roman" w:eastAsia="宋体" w:cs="Times New Roman"/>
          <w:szCs w:val="21"/>
        </w:rPr>
        <w:t>计量特征突出的重要环节</w:t>
      </w:r>
      <w:r>
        <w:rPr>
          <w:rFonts w:hint="default" w:ascii="Times New Roman" w:hAnsi="Times New Roman" w:eastAsia="宋体" w:cs="Times New Roman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szCs w:val="21"/>
        </w:rPr>
        <w:t>覆盖了主要原材料检验、生产工艺质量控制、产品出厂性能检测以及量值溯源系统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，同时，跟踪验证了该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eastAsia="zh-CN"/>
        </w:rPr>
        <w:t>企业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在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一年来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对体系的运行监视、分析完善和持续改进等工作情况。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kern w:val="24"/>
          <w:szCs w:val="21"/>
        </w:rPr>
      </w:pPr>
      <w:r>
        <w:rPr>
          <w:rFonts w:hint="default" w:ascii="Times New Roman" w:hAnsi="Times New Roman" w:eastAsia="宋体" w:cs="Times New Roman"/>
          <w:bCs/>
          <w:kern w:val="0"/>
          <w:szCs w:val="21"/>
          <w:lang w:eastAsia="zh-CN"/>
        </w:rPr>
        <w:t>企业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测量管理体系的符合性、有效性及持续改进，符合GB/T 19022-2003标准要求，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eastAsia="zh-CN"/>
        </w:rPr>
        <w:t>企业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测量管理体系正常有序运行，较好地满足了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eastAsia="zh-CN"/>
        </w:rPr>
        <w:t>企业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生产、销售和持续发展的需要。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Cs w:val="21"/>
        </w:rPr>
        <w:t>2.</w:t>
      </w:r>
      <w:r>
        <w:rPr>
          <w:rFonts w:hint="default" w:ascii="Times New Roman" w:hAnsi="Times New Roman" w:eastAsia="宋体" w:cs="Times New Roman"/>
          <w:b/>
          <w:bCs w:val="0"/>
          <w:color w:val="auto"/>
          <w:szCs w:val="21"/>
        </w:rPr>
        <w:t>内部审核和管理评审</w:t>
      </w: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Cs w:val="21"/>
        </w:rPr>
        <w:t>的情况：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Times New Roman" w:hAnsi="Times New Roman" w:eastAsia="宋体" w:cs="Times New Roman"/>
          <w:bCs/>
          <w:color w:val="auto"/>
          <w:sz w:val="21"/>
          <w:szCs w:val="21"/>
          <w:lang w:val="en-US" w:eastAsia="zh-CN"/>
        </w:rPr>
      </w:pPr>
      <w:r>
        <w:rPr>
          <w:rStyle w:val="9"/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2.1内</w: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部</w:t>
      </w:r>
      <w:r>
        <w:rPr>
          <w:rStyle w:val="9"/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审</w:t>
      </w:r>
      <w:r>
        <w:rPr>
          <w:rStyle w:val="9"/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核</w:t>
      </w:r>
      <w:r>
        <w:rPr>
          <w:rStyle w:val="9"/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情况：</w:t>
      </w:r>
      <w:r>
        <w:rPr>
          <w:rFonts w:hint="eastAsia" w:ascii="Times New Roman" w:hAnsi="Times New Roman" w:eastAsia="宋体" w:cs="Times New Roman"/>
          <w:bCs/>
          <w:color w:val="auto"/>
          <w:sz w:val="21"/>
          <w:szCs w:val="21"/>
          <w:lang w:val="en-US" w:eastAsia="zh-CN"/>
        </w:rPr>
        <w:t>企业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</w:rPr>
        <w:t>于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  <w:highlight w:val="none"/>
        </w:rPr>
        <w:t>202</w:t>
      </w:r>
      <w:r>
        <w:rPr>
          <w:rFonts w:hint="eastAsia" w:ascii="Times New Roman" w:hAnsi="Times New Roman" w:eastAsia="宋体" w:cs="Times New Roman"/>
          <w:bCs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  <w:highlight w:val="none"/>
        </w:rPr>
        <w:t>年</w:t>
      </w:r>
      <w:r>
        <w:rPr>
          <w:rFonts w:hint="eastAsia" w:ascii="Times New Roman" w:hAnsi="Times New Roman" w:eastAsia="宋体" w:cs="Times New Roman"/>
          <w:bCs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  <w:highlight w:val="none"/>
        </w:rPr>
        <w:t>月</w:t>
      </w:r>
      <w:r>
        <w:rPr>
          <w:rFonts w:hint="eastAsia" w:ascii="Times New Roman" w:hAnsi="Times New Roman" w:eastAsia="宋体" w:cs="Times New Roman"/>
          <w:bCs/>
          <w:color w:val="auto"/>
          <w:sz w:val="21"/>
          <w:szCs w:val="21"/>
          <w:highlight w:val="none"/>
          <w:lang w:val="en-US" w:eastAsia="zh-CN"/>
        </w:rPr>
        <w:t>20 日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～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  <w:highlight w:val="none"/>
        </w:rPr>
        <w:t>202</w:t>
      </w:r>
      <w:r>
        <w:rPr>
          <w:rFonts w:hint="eastAsia" w:ascii="Times New Roman" w:hAnsi="Times New Roman" w:eastAsia="宋体" w:cs="Times New Roman"/>
          <w:bCs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  <w:highlight w:val="none"/>
        </w:rPr>
        <w:t>年</w:t>
      </w:r>
      <w:r>
        <w:rPr>
          <w:rFonts w:hint="eastAsia" w:ascii="Times New Roman" w:hAnsi="Times New Roman" w:eastAsia="宋体" w:cs="Times New Roman"/>
          <w:bCs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  <w:highlight w:val="none"/>
        </w:rPr>
        <w:t>月</w:t>
      </w:r>
      <w:r>
        <w:rPr>
          <w:rFonts w:hint="eastAsia" w:ascii="Times New Roman" w:hAnsi="Times New Roman" w:eastAsia="宋体" w:cs="Times New Roman"/>
          <w:bCs/>
          <w:color w:val="auto"/>
          <w:sz w:val="21"/>
          <w:szCs w:val="21"/>
          <w:highlight w:val="none"/>
          <w:lang w:val="en-US" w:eastAsia="zh-CN"/>
        </w:rPr>
        <w:t>23 日单</w:t>
      </w:r>
      <w:r>
        <w:rPr>
          <w:rFonts w:hint="eastAsia" w:ascii="Times New Roman" w:hAnsi="Times New Roman" w:eastAsia="宋体" w:cs="Times New Roman"/>
          <w:bCs/>
          <w:color w:val="auto"/>
          <w:sz w:val="21"/>
          <w:szCs w:val="21"/>
          <w:lang w:val="en-US" w:eastAsia="zh-CN"/>
        </w:rPr>
        <w:t>独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</w:rPr>
        <w:t>组织了测量管理体系</w:t>
      </w:r>
      <w:r>
        <w:rPr>
          <w:rFonts w:hint="eastAsia" w:ascii="Times New Roman" w:hAnsi="Times New Roman" w:eastAsia="宋体" w:cs="Times New Roman"/>
          <w:bCs/>
          <w:color w:val="auto"/>
          <w:sz w:val="21"/>
          <w:szCs w:val="21"/>
          <w:lang w:val="en-US" w:eastAsia="zh-CN"/>
        </w:rPr>
        <w:t>内审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</w:rPr>
        <w:t>，对</w:t>
      </w:r>
      <w:r>
        <w:rPr>
          <w:rFonts w:hint="eastAsia" w:ascii="Times New Roman" w:hAnsi="Times New Roman" w:eastAsia="宋体" w:cs="Times New Roman"/>
          <w:bCs/>
          <w:color w:val="auto"/>
          <w:sz w:val="21"/>
          <w:szCs w:val="21"/>
          <w:lang w:val="en-US" w:eastAsia="zh-CN"/>
        </w:rPr>
        <w:t>16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</w:rPr>
        <w:t>个部门进行了全要素审核，</w:t>
      </w:r>
      <w:r>
        <w:rPr>
          <w:rFonts w:hint="eastAsia" w:ascii="Times New Roman" w:hAnsi="Times New Roman" w:eastAsia="宋体" w:cs="Times New Roman"/>
          <w:bCs/>
          <w:color w:val="auto"/>
          <w:sz w:val="21"/>
          <w:szCs w:val="21"/>
          <w:lang w:val="en-US" w:eastAsia="zh-CN"/>
        </w:rPr>
        <w:t>内审中发现了1个不符合项，查纠正（预防）措施表表明，经验证不符合项纠正措施有效，已完成整改，不符合项关闭。</w:t>
      </w:r>
      <w:r>
        <w:rPr>
          <w:rFonts w:hint="default" w:ascii="Times New Roman" w:hAnsi="Times New Roman" w:eastAsia="宋体" w:cs="Times New Roman"/>
          <w:szCs w:val="21"/>
        </w:rPr>
        <w:t>通过内审，企业对测量管理体系运行情况进行检查和审核，达到了发现问题及时解决问题的目的，效果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>良</w:t>
      </w:r>
      <w:r>
        <w:rPr>
          <w:rFonts w:hint="default" w:ascii="Times New Roman" w:hAnsi="Times New Roman" w:eastAsia="宋体" w:cs="Times New Roman"/>
          <w:szCs w:val="21"/>
        </w:rPr>
        <w:t>好。</w:t>
      </w:r>
      <w:r>
        <w:rPr>
          <w:rFonts w:hint="eastAsia" w:ascii="Times New Roman" w:hAnsi="Times New Roman" w:eastAsia="宋体" w:cs="Times New Roman"/>
          <w:bCs/>
          <w:color w:val="auto"/>
          <w:sz w:val="21"/>
          <w:szCs w:val="21"/>
          <w:lang w:val="en-US" w:eastAsia="zh-CN"/>
        </w:rPr>
        <w:t>内审结论为：管理层、各相关厂部的日常运行与管理基本符合GB/T19022-2003以及公司测量管理体系相关文件的要求与规定并取得了良好效果。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Style w:val="9"/>
          <w:rFonts w:hint="default" w:ascii="Times New Roman" w:hAnsi="Times New Roman" w:eastAsia="宋体" w:cs="Times New Roman"/>
          <w:color w:val="0070C0"/>
          <w:sz w:val="21"/>
          <w:szCs w:val="21"/>
        </w:rPr>
      </w:pPr>
      <w:r>
        <w:rPr>
          <w:rStyle w:val="9"/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2.2管理评审情况：</w:t>
      </w:r>
      <w:r>
        <w:rPr>
          <w:rStyle w:val="9"/>
          <w:rFonts w:hint="default" w:ascii="Times New Roman" w:hAnsi="Times New Roman" w:eastAsia="宋体" w:cs="Times New Roman"/>
          <w:color w:val="auto"/>
          <w:sz w:val="21"/>
          <w:szCs w:val="21"/>
        </w:rPr>
        <w:t>企</w:t>
      </w:r>
      <w:r>
        <w:rPr>
          <w:rFonts w:hint="default" w:ascii="Times New Roman" w:hAnsi="Times New Roman" w:eastAsia="宋体" w:cs="Times New Roman"/>
          <w:bCs/>
          <w:color w:val="auto"/>
          <w:szCs w:val="21"/>
        </w:rPr>
        <w:t>业</w:t>
      </w:r>
      <w:r>
        <w:rPr>
          <w:rFonts w:hint="default" w:ascii="Times New Roman" w:hAnsi="Times New Roman" w:eastAsia="宋体" w:cs="Times New Roman"/>
          <w:color w:val="auto"/>
          <w:szCs w:val="21"/>
        </w:rPr>
        <w:t>于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20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年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  <w:t>日</w:t>
      </w:r>
      <w:r>
        <w:rPr>
          <w:rFonts w:hint="default" w:ascii="Times New Roman" w:hAnsi="Times New Roman" w:eastAsia="宋体" w:cs="Times New Roman"/>
          <w:color w:val="auto"/>
          <w:szCs w:val="21"/>
        </w:rPr>
        <w:t>开展了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</w:rPr>
        <w:t>单</w:t>
      </w:r>
      <w:r>
        <w:rPr>
          <w:rFonts w:hint="default" w:ascii="Times New Roman" w:hAnsi="Times New Roman" w:eastAsia="宋体" w:cs="Times New Roman"/>
          <w:color w:val="auto"/>
          <w:szCs w:val="21"/>
        </w:rPr>
        <w:t>体系管理评审，会议由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管理者代表吴建中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主持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并</w:t>
      </w:r>
      <w:r>
        <w:rPr>
          <w:rFonts w:hint="default" w:ascii="Times New Roman" w:hAnsi="Times New Roman" w:eastAsia="宋体" w:cs="Times New Roman"/>
          <w:szCs w:val="21"/>
        </w:rPr>
        <w:t>汇报了体系运行情况</w:t>
      </w:r>
      <w:r>
        <w:rPr>
          <w:rFonts w:hint="default" w:ascii="Times New Roman" w:hAnsi="Times New Roman" w:eastAsia="宋体" w:cs="Times New Roman"/>
          <w:color w:val="auto"/>
          <w:szCs w:val="21"/>
        </w:rPr>
        <w:t>。会议肯定了公司测量管理体系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运行的</w:t>
      </w:r>
      <w:r>
        <w:rPr>
          <w:rFonts w:hint="default" w:ascii="Times New Roman" w:hAnsi="Times New Roman" w:eastAsia="宋体" w:cs="Times New Roman"/>
          <w:color w:val="auto"/>
          <w:szCs w:val="21"/>
        </w:rPr>
        <w:t>充分性、有效性和适宜性</w:t>
      </w:r>
      <w:r>
        <w:rPr>
          <w:rFonts w:hint="default" w:ascii="Times New Roman" w:hAnsi="Times New Roman" w:eastAsia="宋体" w:cs="Times New Roman"/>
          <w:color w:val="auto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Cs w:val="21"/>
        </w:rPr>
        <w:t>形成了管理评审报告，</w:t>
      </w:r>
      <w:bookmarkStart w:id="8" w:name="_Hlk38483287"/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从公司实际出发提出了两项持续改进建议，确定了具体的整改要求，明确了具体的责任部门及到位时间。</w:t>
      </w:r>
      <w:bookmarkEnd w:id="8"/>
      <w:r>
        <w:rPr>
          <w:rFonts w:hint="default" w:ascii="Times New Roman" w:hAnsi="Times New Roman" w:eastAsia="宋体" w:cs="Times New Roman"/>
          <w:szCs w:val="21"/>
        </w:rPr>
        <w:t>管理评审结论为：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>公司测量管理体系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适宜、充分和有效，</w:t>
      </w:r>
      <w:r>
        <w:rPr>
          <w:rFonts w:hint="default" w:ascii="Times New Roman" w:hAnsi="Times New Roman" w:eastAsia="宋体" w:cs="Times New Roman"/>
          <w:szCs w:val="21"/>
        </w:rPr>
        <w:t>符合GB/T 19022-2003标准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szCs w:val="21"/>
        </w:rPr>
        <w:t>要求。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Cs w:val="21"/>
        </w:rPr>
        <w:t>为持续改进而策划的活动的进展</w:t>
      </w: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Cs w:val="21"/>
        </w:rPr>
        <w:t>企业对识别的关键测量过程进行了持续的控制：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</w:rPr>
        <w:t>企业</w:t>
      </w:r>
      <w:bookmarkStart w:id="9" w:name="_Hlk61528753"/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无新增</w:t>
      </w:r>
      <w:r>
        <w:rPr>
          <w:rFonts w:hint="default" w:ascii="Times New Roman" w:hAnsi="Times New Roman" w:eastAsia="宋体" w:cs="Times New Roman"/>
          <w:color w:val="auto"/>
          <w:szCs w:val="21"/>
        </w:rPr>
        <w:t>测量过程</w:t>
      </w:r>
      <w:bookmarkEnd w:id="9"/>
      <w:r>
        <w:rPr>
          <w:rFonts w:hint="eastAsia" w:ascii="Times New Roman" w:hAnsi="Times New Roman" w:eastAsia="宋体" w:cs="Times New Roman"/>
          <w:color w:val="auto"/>
          <w:szCs w:val="21"/>
          <w:lang w:eastAsia="zh-CN"/>
        </w:rPr>
        <w:t>。</w:t>
      </w:r>
      <w:r>
        <w:rPr>
          <w:rFonts w:hint="default" w:ascii="Times New Roman" w:hAnsi="Times New Roman" w:eastAsia="宋体" w:cs="Times New Roman"/>
          <w:bCs/>
          <w:color w:val="auto"/>
          <w:szCs w:val="21"/>
        </w:rPr>
        <w:t>对每个不同大类的测量过程予以识别</w:t>
      </w:r>
      <w:r>
        <w:rPr>
          <w:rFonts w:hint="default" w:ascii="Times New Roman" w:hAnsi="Times New Roman" w:eastAsia="宋体" w:cs="Times New Roman"/>
          <w:bCs/>
          <w:color w:val="auto"/>
          <w:szCs w:val="21"/>
          <w:lang w:val="en-US" w:eastAsia="zh-CN"/>
        </w:rPr>
        <w:t>和有效</w:t>
      </w:r>
      <w:r>
        <w:rPr>
          <w:rFonts w:hint="default" w:ascii="Times New Roman" w:hAnsi="Times New Roman" w:eastAsia="宋体" w:cs="Times New Roman"/>
          <w:bCs/>
          <w:color w:val="auto"/>
          <w:szCs w:val="21"/>
        </w:rPr>
        <w:t>控制。企业已对关键</w:t>
      </w:r>
      <w:r>
        <w:rPr>
          <w:rFonts w:hint="default" w:ascii="Times New Roman" w:hAnsi="Times New Roman" w:eastAsia="宋体" w:cs="Times New Roman"/>
          <w:bCs/>
          <w:color w:val="auto"/>
          <w:szCs w:val="21"/>
          <w:lang w:val="en-US" w:eastAsia="zh-CN"/>
        </w:rPr>
        <w:t>和重要</w:t>
      </w:r>
      <w:r>
        <w:rPr>
          <w:rFonts w:hint="default" w:ascii="Times New Roman" w:hAnsi="Times New Roman" w:eastAsia="宋体" w:cs="Times New Roman"/>
          <w:bCs/>
          <w:color w:val="auto"/>
          <w:szCs w:val="21"/>
        </w:rPr>
        <w:t>测量设备进行了计量确认和验证，验证结果均为符合。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  <w:lang w:val="en-US" w:eastAsia="zh-CN"/>
        </w:rPr>
        <w:t>3.1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计量要求的导出和验证：查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highlight w:val="none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抗拉强度检测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过程”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color w:val="auto"/>
          <w:lang w:eastAsia="zh-CN"/>
        </w:rPr>
        <w:t>“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焦炭进厂称重测量过程</w:t>
      </w:r>
      <w:r>
        <w:rPr>
          <w:rFonts w:hint="eastAsia" w:ascii="Times New Roman" w:hAnsi="Times New Roman" w:eastAsia="宋体" w:cs="Times New Roman"/>
          <w:color w:val="auto"/>
          <w:lang w:eastAsia="zh-CN"/>
        </w:rPr>
        <w:t>”</w:t>
      </w:r>
      <w:r>
        <w:rPr>
          <w:rFonts w:hint="default" w:ascii="Times New Roman" w:hAnsi="Times New Roman" w:eastAsia="宋体" w:cs="Times New Roman"/>
          <w:color w:val="auto"/>
        </w:rPr>
        <w:t>计量要求导出方法正确，验证满足测量过程要求。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详</w:t>
      </w:r>
      <w:r>
        <w:rPr>
          <w:rFonts w:hint="default" w:ascii="Times New Roman" w:hAnsi="Times New Roman" w:eastAsia="宋体" w:cs="Times New Roman"/>
          <w:color w:val="auto"/>
        </w:rPr>
        <w:t>见附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件</w:t>
      </w:r>
      <w:r>
        <w:rPr>
          <w:rFonts w:hint="default" w:ascii="Times New Roman" w:hAnsi="Times New Roman" w:eastAsia="宋体" w:cs="Times New Roman"/>
          <w:color w:val="auto"/>
        </w:rPr>
        <w:t>《计量要求导出及验证记录表》</w:t>
      </w:r>
      <w:r>
        <w:rPr>
          <w:rFonts w:hint="default" w:ascii="Times New Roman" w:hAnsi="Times New Roman" w:eastAsia="宋体" w:cs="Times New Roman"/>
          <w:color w:val="auto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kern w:val="0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  <w:t>3.2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测量不确定评定：查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highlight w:val="none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抗拉强度检测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过程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不确定度评定报告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、“焦炭进厂称重测量过程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不确定度评定报告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”，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不确定度评定方法正确</w:t>
      </w:r>
      <w:r>
        <w:rPr>
          <w:rFonts w:hint="default" w:ascii="Times New Roman" w:hAnsi="Times New Roman" w:eastAsia="宋体" w:cs="Times New Roman"/>
          <w:color w:val="auto"/>
        </w:rPr>
        <w:t>。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详</w:t>
      </w:r>
      <w:r>
        <w:rPr>
          <w:rFonts w:hint="default" w:ascii="Times New Roman" w:hAnsi="Times New Roman" w:eastAsia="宋体" w:cs="Times New Roman"/>
          <w:color w:val="auto"/>
        </w:rPr>
        <w:t>见附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件</w:t>
      </w:r>
      <w:r>
        <w:rPr>
          <w:rFonts w:hint="default" w:ascii="Times New Roman" w:hAnsi="Times New Roman" w:eastAsia="宋体" w:cs="Times New Roman"/>
          <w:color w:val="auto"/>
        </w:rPr>
        <w:t>《</w:t>
      </w:r>
      <w:r>
        <w:rPr>
          <w:rFonts w:hint="eastAsia"/>
          <w:color w:val="auto"/>
          <w:highlight w:val="none"/>
        </w:rPr>
        <w:t>测量过程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不确定度评定报告</w:t>
      </w:r>
      <w:r>
        <w:rPr>
          <w:rFonts w:hint="default" w:ascii="Times New Roman" w:hAnsi="Times New Roman" w:eastAsia="宋体" w:cs="Times New Roman"/>
          <w:color w:val="auto"/>
        </w:rPr>
        <w:t>》</w:t>
      </w:r>
      <w:r>
        <w:rPr>
          <w:rFonts w:hint="default" w:ascii="Times New Roman" w:hAnsi="Times New Roman" w:eastAsia="宋体" w:cs="Times New Roman"/>
          <w:color w:val="auto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kern w:val="0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  <w:t>3.3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有效性确认：查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抗拉强度检测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过程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color w:val="auto"/>
          <w:lang w:eastAsia="zh-CN"/>
        </w:rPr>
        <w:t>“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焦炭进厂称重测量过程</w:t>
      </w:r>
      <w:r>
        <w:rPr>
          <w:rFonts w:hint="eastAsia" w:ascii="Times New Roman" w:hAnsi="Times New Roman" w:eastAsia="宋体" w:cs="Times New Roman"/>
          <w:color w:val="auto"/>
          <w:lang w:eastAsia="zh-CN"/>
        </w:rPr>
        <w:t>”，</w:t>
      </w:r>
      <w:r>
        <w:rPr>
          <w:rFonts w:hint="default" w:ascii="Times New Roman" w:hAnsi="Times New Roman" w:eastAsia="宋体" w:cs="Times New Roman"/>
          <w:color w:val="auto"/>
        </w:rPr>
        <w:t>采用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比对法</w:t>
      </w:r>
      <w:r>
        <w:rPr>
          <w:rFonts w:hint="default" w:ascii="Times New Roman" w:hAnsi="Times New Roman" w:eastAsia="宋体" w:cs="Times New Roman"/>
          <w:color w:val="auto"/>
        </w:rPr>
        <w:t>进行有效性确认，满足要求。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详</w:t>
      </w:r>
      <w:r>
        <w:rPr>
          <w:rFonts w:hint="default" w:ascii="Times New Roman" w:hAnsi="Times New Roman" w:eastAsia="宋体" w:cs="Times New Roman"/>
          <w:color w:val="auto"/>
        </w:rPr>
        <w:t>见附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件</w:t>
      </w:r>
      <w:r>
        <w:rPr>
          <w:rFonts w:hint="default" w:ascii="Times New Roman" w:hAnsi="Times New Roman" w:eastAsia="宋体" w:cs="Times New Roman"/>
          <w:color w:val="auto"/>
        </w:rPr>
        <w:t>《测量过程有效性确认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表</w:t>
      </w:r>
      <w:r>
        <w:rPr>
          <w:rFonts w:hint="default" w:ascii="Times New Roman" w:hAnsi="Times New Roman" w:eastAsia="宋体" w:cs="Times New Roman"/>
          <w:color w:val="auto"/>
        </w:rPr>
        <w:t>》</w:t>
      </w:r>
      <w:r>
        <w:rPr>
          <w:rFonts w:hint="default" w:ascii="Times New Roman" w:hAnsi="Times New Roman" w:eastAsia="宋体" w:cs="Times New Roman"/>
          <w:color w:val="auto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  <w:t>3.4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测量过程的控制：查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抗拉强度检测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过程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color w:val="auto"/>
          <w:lang w:eastAsia="zh-CN"/>
        </w:rPr>
        <w:t>“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焦炭进厂称重测量过程</w:t>
      </w:r>
      <w:r>
        <w:rPr>
          <w:rFonts w:hint="eastAsia" w:ascii="Times New Roman" w:hAnsi="Times New Roman" w:eastAsia="宋体" w:cs="Times New Roman"/>
          <w:color w:val="auto"/>
          <w:lang w:eastAsia="zh-CN"/>
        </w:rPr>
        <w:t>”，</w:t>
      </w:r>
      <w:r>
        <w:rPr>
          <w:rFonts w:hint="default" w:ascii="Times New Roman" w:hAnsi="Times New Roman" w:eastAsia="宋体" w:cs="Times New Roman"/>
          <w:color w:val="auto"/>
        </w:rPr>
        <w:t>编制了控制规范，对测量人员、测量设备、测量环境进行控制，</w:t>
      </w:r>
      <w:r>
        <w:rPr>
          <w:rFonts w:hint="default" w:ascii="Times New Roman" w:hAnsi="Times New Roman" w:eastAsia="宋体" w:cs="Times New Roman"/>
          <w:color w:val="auto"/>
          <w:szCs w:val="21"/>
        </w:rPr>
        <w:t>测量过程符合要求</w:t>
      </w:r>
      <w:r>
        <w:rPr>
          <w:rFonts w:hint="default" w:ascii="Times New Roman" w:hAnsi="Times New Roman" w:eastAsia="宋体" w:cs="Times New Roman"/>
          <w:bCs/>
          <w:color w:val="auto"/>
          <w:szCs w:val="21"/>
        </w:rPr>
        <w:t>。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详</w:t>
      </w:r>
      <w:r>
        <w:rPr>
          <w:rFonts w:hint="default" w:ascii="Times New Roman" w:hAnsi="Times New Roman" w:eastAsia="宋体" w:cs="Times New Roman"/>
          <w:color w:val="auto"/>
        </w:rPr>
        <w:t>见附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件</w:t>
      </w:r>
      <w:r>
        <w:rPr>
          <w:rFonts w:hint="default" w:ascii="Times New Roman" w:hAnsi="Times New Roman" w:eastAsia="宋体" w:cs="Times New Roman"/>
          <w:bCs/>
          <w:color w:val="auto"/>
          <w:szCs w:val="21"/>
        </w:rPr>
        <w:t>《测量过程控制检查表》</w:t>
      </w:r>
      <w:r>
        <w:rPr>
          <w:rFonts w:hint="default" w:ascii="Times New Roman" w:hAnsi="Times New Roman" w:eastAsia="宋体" w:cs="Times New Roman"/>
          <w:color w:val="auto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kern w:val="0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  <w:t>3.5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测量过程的监视：查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抗拉强度检测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过程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color w:val="auto"/>
          <w:lang w:eastAsia="zh-CN"/>
        </w:rPr>
        <w:t>“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焦炭进厂称重测量过程</w:t>
      </w:r>
      <w:r>
        <w:rPr>
          <w:rFonts w:hint="eastAsia" w:ascii="Times New Roman" w:hAnsi="Times New Roman" w:eastAsia="宋体" w:cs="Times New Roman"/>
          <w:color w:val="auto"/>
          <w:lang w:eastAsia="zh-CN"/>
        </w:rPr>
        <w:t>”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采用统计技术进行控制和监视测量过程。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详</w:t>
      </w:r>
      <w:r>
        <w:rPr>
          <w:rFonts w:hint="default" w:ascii="Times New Roman" w:hAnsi="Times New Roman" w:eastAsia="宋体" w:cs="Times New Roman"/>
          <w:color w:val="auto"/>
        </w:rPr>
        <w:t>见附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件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《测量过程监视记录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  <w:t>及控制图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》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Times New Roman" w:hAnsi="Times New Roman" w:eastAsia="宋体" w:cs="Times New Roman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  <w:t>3.6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测量设备的溯源：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企业共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789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台测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量设备纳入测量管理体系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进行管理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企业建立了包括“二等铂电阻温度计标准装置”在内的四个</w:t>
      </w:r>
      <w:r>
        <w:rPr>
          <w:rFonts w:hint="default" w:ascii="Times New Roman" w:hAnsi="Times New Roman" w:eastAsia="宋体" w:cs="Times New Roman"/>
          <w:bCs/>
          <w:color w:val="auto"/>
          <w:szCs w:val="21"/>
        </w:rPr>
        <w:t>最高</w:t>
      </w:r>
      <w:r>
        <w:rPr>
          <w:rFonts w:hint="default" w:ascii="Times New Roman" w:hAnsi="Times New Roman" w:eastAsia="宋体" w:cs="Times New Roman"/>
          <w:bCs/>
          <w:color w:val="auto"/>
          <w:szCs w:val="21"/>
          <w:lang w:val="en-US" w:eastAsia="zh-CN"/>
        </w:rPr>
        <w:t>计量</w:t>
      </w:r>
      <w:r>
        <w:rPr>
          <w:rFonts w:hint="default" w:ascii="Times New Roman" w:hAnsi="Times New Roman" w:eastAsia="宋体" w:cs="Times New Roman"/>
          <w:bCs/>
          <w:color w:val="auto"/>
          <w:szCs w:val="21"/>
        </w:rPr>
        <w:t>标准，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测量设备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均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委外到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两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  <w:t>家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机构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进行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检定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校准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：“</w:t>
      </w:r>
      <w:r>
        <w:rPr>
          <w:rFonts w:hint="eastAsia" w:cs="Times New Roman" w:asciiTheme="majorEastAsia" w:hAnsiTheme="majorEastAsia" w:eastAsiaTheme="majorEastAsia"/>
          <w:sz w:val="21"/>
          <w:szCs w:val="21"/>
        </w:rPr>
        <w:t>连云港市赣榆区综合检验检测中</w:t>
      </w:r>
      <w:r>
        <w:rPr>
          <w:rFonts w:hint="eastAsia" w:cs="Times New Roman" w:asciiTheme="majorEastAsia" w:hAnsiTheme="majorEastAsia" w:eastAsiaTheme="majorEastAsia"/>
          <w:color w:val="auto"/>
          <w:sz w:val="21"/>
          <w:szCs w:val="21"/>
        </w:rPr>
        <w:t>心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  <w:t>”，</w:t>
      </w:r>
      <w:r>
        <w:rPr>
          <w:rFonts w:hAnsi="宋体"/>
          <w:color w:val="auto"/>
          <w:sz w:val="21"/>
          <w:szCs w:val="21"/>
        </w:rPr>
        <w:t>计量</w:t>
      </w:r>
      <w:r>
        <w:rPr>
          <w:rFonts w:hAnsi="宋体"/>
          <w:sz w:val="21"/>
          <w:szCs w:val="21"/>
        </w:rPr>
        <w:t>授权证书号：（苏）法计（</w:t>
      </w:r>
      <w:r>
        <w:rPr>
          <w:sz w:val="21"/>
          <w:szCs w:val="21"/>
        </w:rPr>
        <w:t>2020</w:t>
      </w:r>
      <w:r>
        <w:rPr>
          <w:rFonts w:hAnsi="宋体"/>
          <w:sz w:val="21"/>
          <w:szCs w:val="21"/>
        </w:rPr>
        <w:t>）</w:t>
      </w:r>
      <w:r>
        <w:rPr>
          <w:sz w:val="21"/>
          <w:szCs w:val="21"/>
        </w:rPr>
        <w:t>10072</w:t>
      </w:r>
      <w:r>
        <w:rPr>
          <w:rFonts w:hAnsi="宋体"/>
          <w:sz w:val="21"/>
          <w:szCs w:val="21"/>
        </w:rPr>
        <w:t>号</w:t>
      </w:r>
      <w:r>
        <w:rPr>
          <w:rFonts w:hint="eastAsia" w:hAnsi="宋体"/>
          <w:sz w:val="21"/>
          <w:szCs w:val="21"/>
          <w:lang w:eastAsia="zh-CN"/>
        </w:rPr>
        <w:t>；“</w:t>
      </w:r>
      <w:r>
        <w:rPr>
          <w:rFonts w:hAnsi="宋体"/>
          <w:szCs w:val="21"/>
        </w:rPr>
        <w:t>连云港市计量检定测试中心</w:t>
      </w:r>
      <w:r>
        <w:rPr>
          <w:rFonts w:hint="eastAsia" w:hAnsi="宋体"/>
          <w:szCs w:val="21"/>
          <w:lang w:eastAsia="zh-CN"/>
        </w:rPr>
        <w:t>”</w:t>
      </w:r>
      <w:r>
        <w:rPr>
          <w:rFonts w:hAnsi="宋体"/>
          <w:szCs w:val="21"/>
        </w:rPr>
        <w:t>，计量授权证书号：（苏）法计（</w:t>
      </w:r>
      <w:r>
        <w:rPr>
          <w:szCs w:val="21"/>
        </w:rPr>
        <w:t>2019</w:t>
      </w:r>
      <w:r>
        <w:rPr>
          <w:rFonts w:hAnsi="宋体"/>
          <w:szCs w:val="21"/>
        </w:rPr>
        <w:t>）</w:t>
      </w:r>
      <w:r>
        <w:rPr>
          <w:szCs w:val="21"/>
        </w:rPr>
        <w:t>1007</w:t>
      </w:r>
      <w:r>
        <w:rPr>
          <w:rFonts w:hAnsi="宋体"/>
          <w:szCs w:val="21"/>
        </w:rPr>
        <w:t>号</w:t>
      </w:r>
      <w:r>
        <w:rPr>
          <w:rFonts w:hint="eastAsia" w:hAnsi="宋体"/>
          <w:szCs w:val="21"/>
          <w:lang w:eastAsia="zh-CN"/>
        </w:rPr>
        <w:t>。</w:t>
      </w:r>
      <w:r>
        <w:rPr>
          <w:rFonts w:hint="default" w:ascii="Times New Roman" w:hAnsi="Times New Roman" w:eastAsia="宋体" w:cs="Times New Roman"/>
          <w:color w:val="auto"/>
          <w:szCs w:val="21"/>
        </w:rPr>
        <w:t>抽查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auto"/>
          <w:szCs w:val="21"/>
        </w:rPr>
        <w:t>台测量设备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的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检定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校准证书</w:t>
      </w:r>
      <w:r>
        <w:rPr>
          <w:rFonts w:hint="default" w:ascii="Times New Roman" w:hAnsi="Times New Roman" w:eastAsia="宋体" w:cs="Times New Roman"/>
          <w:color w:val="auto"/>
          <w:szCs w:val="21"/>
        </w:rPr>
        <w:t>，溯源满足要求。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详</w:t>
      </w:r>
      <w:r>
        <w:rPr>
          <w:rFonts w:hint="default" w:ascii="Times New Roman" w:hAnsi="Times New Roman" w:eastAsia="宋体" w:cs="Times New Roman"/>
          <w:color w:val="auto"/>
          <w:szCs w:val="21"/>
        </w:rPr>
        <w:t>见《测量设备溯源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抽</w:t>
      </w:r>
      <w:r>
        <w:rPr>
          <w:rFonts w:hint="default" w:ascii="Times New Roman" w:hAnsi="Times New Roman" w:eastAsia="宋体" w:cs="Times New Roman"/>
          <w:color w:val="auto"/>
          <w:szCs w:val="21"/>
        </w:rPr>
        <w:t>查表》</w:t>
      </w:r>
      <w:r>
        <w:rPr>
          <w:rFonts w:hint="eastAsia" w:ascii="Times New Roman" w:hAnsi="Times New Roman" w:eastAsia="宋体" w:cs="Times New Roman"/>
          <w:color w:val="auto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bCs/>
          <w:color w:val="auto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Cs w:val="21"/>
        </w:rPr>
        <w:t>能源管理情况：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/>
          <w:bCs/>
          <w:color w:val="auto"/>
          <w:szCs w:val="21"/>
        </w:rPr>
      </w:pPr>
      <w:r>
        <w:rPr>
          <w:rFonts w:hint="eastAsia"/>
          <w:color w:val="auto"/>
          <w:sz w:val="24"/>
          <w:szCs w:val="24"/>
        </w:rPr>
        <w:t>企</w:t>
      </w:r>
      <w:r>
        <w:rPr>
          <w:rFonts w:hint="eastAsia" w:ascii="宋体" w:hAnsi="宋体" w:eastAsia="宋体"/>
          <w:bCs/>
          <w:color w:val="auto"/>
          <w:szCs w:val="21"/>
        </w:rPr>
        <w:t>业20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</w:t>
      </w:r>
      <w:r>
        <w:rPr>
          <w:rFonts w:hint="eastAsia" w:ascii="宋体" w:hAnsi="宋体" w:eastAsia="宋体"/>
          <w:bCs/>
          <w:color w:val="auto"/>
          <w:szCs w:val="21"/>
        </w:rPr>
        <w:t>年耗能</w:t>
      </w:r>
      <w:r>
        <w:rPr>
          <w:rFonts w:hint="eastAsia" w:ascii="宋体" w:hAnsi="宋体"/>
          <w:color w:val="auto"/>
          <w:szCs w:val="21"/>
          <w:lang w:val="en-US" w:eastAsia="zh-CN"/>
        </w:rPr>
        <w:t>273.1221万吨标煤</w:t>
      </w:r>
      <w:r>
        <w:rPr>
          <w:rFonts w:hint="eastAsia" w:ascii="宋体" w:hAnsi="宋体" w:eastAsia="宋体"/>
          <w:bCs/>
          <w:color w:val="auto"/>
          <w:szCs w:val="21"/>
        </w:rPr>
        <w:t>。</w:t>
      </w:r>
      <w:r>
        <w:rPr>
          <w:rFonts w:hint="eastAsia" w:ascii="宋体" w:hAnsi="宋体" w:eastAsia="宋体"/>
          <w:b w:val="0"/>
          <w:bCs/>
          <w:color w:val="auto"/>
          <w:szCs w:val="21"/>
        </w:rPr>
        <w:t>是</w:t>
      </w:r>
      <w:r>
        <w:rPr>
          <w:rFonts w:hint="eastAsia" w:ascii="宋体" w:hAnsi="宋体" w:eastAsia="宋体"/>
          <w:bCs/>
          <w:color w:val="auto"/>
          <w:szCs w:val="21"/>
        </w:rPr>
        <w:t>重点耗能单位，</w:t>
      </w:r>
      <w:r>
        <w:rPr>
          <w:rFonts w:hint="eastAsia" w:ascii="宋体" w:hAnsi="宋体"/>
          <w:bCs/>
          <w:color w:val="auto"/>
          <w:szCs w:val="21"/>
        </w:rPr>
        <w:t>企业消耗能源主要有</w:t>
      </w:r>
      <w:r>
        <w:rPr>
          <w:rFonts w:hint="eastAsia" w:ascii="宋体" w:hAnsi="宋体"/>
          <w:bCs/>
          <w:color w:val="0000FF"/>
          <w:szCs w:val="21"/>
        </w:rPr>
        <w:t>：</w:t>
      </w:r>
      <w:r>
        <w:rPr>
          <w:rFonts w:hint="eastAsia" w:ascii="宋体" w:hAnsi="宋体"/>
          <w:bCs/>
          <w:color w:val="auto"/>
          <w:szCs w:val="21"/>
        </w:rPr>
        <w:t>煤炭、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焦炭、焦粉、</w:t>
      </w:r>
      <w:r>
        <w:rPr>
          <w:rFonts w:hint="eastAsia" w:ascii="宋体" w:hAnsi="宋体"/>
          <w:bCs/>
          <w:color w:val="auto"/>
          <w:szCs w:val="21"/>
        </w:rPr>
        <w:t xml:space="preserve">水、电 </w:t>
      </w:r>
      <w:r>
        <w:rPr>
          <w:rFonts w:hint="eastAsia" w:ascii="宋体" w:hAnsi="宋体"/>
          <w:bCs/>
          <w:color w:val="auto"/>
          <w:szCs w:val="21"/>
          <w:lang w:eastAsia="zh-CN"/>
        </w:rPr>
        <w:t>、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柴油等。</w:t>
      </w:r>
      <w:r>
        <w:rPr>
          <w:rFonts w:hint="eastAsia" w:ascii="宋体" w:hAnsi="宋体" w:eastAsia="宋体"/>
          <w:bCs/>
          <w:color w:val="auto"/>
          <w:szCs w:val="21"/>
        </w:rPr>
        <w:t xml:space="preserve">企业建立了能源管理网络图和能源测量设备明细表，能源测量设备配备率满足要求。进出用能单位，应配 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15</w:t>
      </w:r>
      <w:r>
        <w:rPr>
          <w:rFonts w:hint="eastAsia" w:ascii="宋体" w:hAnsi="宋体" w:eastAsia="宋体"/>
          <w:bCs/>
          <w:color w:val="auto"/>
          <w:szCs w:val="21"/>
        </w:rPr>
        <w:t xml:space="preserve">台（件），实配 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15</w:t>
      </w:r>
      <w:r>
        <w:rPr>
          <w:rFonts w:hint="eastAsia" w:ascii="宋体" w:hAnsi="宋体" w:eastAsia="宋体"/>
          <w:bCs/>
          <w:color w:val="auto"/>
          <w:szCs w:val="21"/>
        </w:rPr>
        <w:t>台（件）；进出主要次级用能单位应配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测量设备</w:t>
      </w:r>
      <w:r>
        <w:rPr>
          <w:rFonts w:hint="eastAsia" w:ascii="宋体" w:hAnsi="宋体" w:eastAsia="宋体"/>
          <w:bCs/>
          <w:color w:val="auto"/>
          <w:szCs w:val="21"/>
        </w:rPr>
        <w:t xml:space="preserve"> 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184</w:t>
      </w:r>
      <w:r>
        <w:rPr>
          <w:rFonts w:hint="eastAsia" w:ascii="宋体" w:hAnsi="宋体" w:eastAsia="宋体"/>
          <w:bCs/>
          <w:color w:val="auto"/>
          <w:szCs w:val="21"/>
        </w:rPr>
        <w:t xml:space="preserve">台（件），实配 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184</w:t>
      </w:r>
      <w:r>
        <w:rPr>
          <w:rFonts w:hint="eastAsia" w:ascii="宋体" w:hAnsi="宋体" w:eastAsia="宋体"/>
          <w:bCs/>
          <w:color w:val="auto"/>
          <w:szCs w:val="21"/>
        </w:rPr>
        <w:t>台（件）</w:t>
      </w:r>
      <w:r>
        <w:rPr>
          <w:rFonts w:hint="eastAsia" w:ascii="宋体" w:hAnsi="宋体" w:eastAsia="宋体"/>
          <w:bCs/>
          <w:color w:val="0070C0"/>
          <w:szCs w:val="21"/>
        </w:rPr>
        <w:t>；</w:t>
      </w:r>
      <w:r>
        <w:rPr>
          <w:rFonts w:hint="eastAsia" w:ascii="宋体" w:hAnsi="宋体" w:eastAsia="宋体"/>
          <w:bCs/>
          <w:color w:val="auto"/>
          <w:szCs w:val="21"/>
        </w:rPr>
        <w:t>进出主要用能设备（单元）应配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测量设备</w:t>
      </w:r>
      <w:r>
        <w:rPr>
          <w:rFonts w:hint="eastAsia" w:ascii="宋体" w:hAnsi="宋体" w:eastAsia="宋体"/>
          <w:bCs/>
          <w:color w:val="auto"/>
          <w:szCs w:val="21"/>
        </w:rPr>
        <w:t xml:space="preserve"> 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593</w:t>
      </w:r>
      <w:r>
        <w:rPr>
          <w:rFonts w:hint="eastAsia" w:ascii="宋体" w:hAnsi="宋体" w:eastAsia="宋体"/>
          <w:bCs/>
          <w:color w:val="auto"/>
          <w:szCs w:val="21"/>
        </w:rPr>
        <w:t xml:space="preserve">台（件），实配 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593</w:t>
      </w:r>
      <w:r>
        <w:rPr>
          <w:rFonts w:hint="eastAsia" w:ascii="宋体" w:hAnsi="宋体" w:eastAsia="宋体"/>
          <w:bCs/>
          <w:color w:val="auto"/>
          <w:szCs w:val="21"/>
        </w:rPr>
        <w:t>台（件）；抽查测量设备配备率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100%，</w:t>
      </w:r>
      <w:r>
        <w:rPr>
          <w:rFonts w:hint="eastAsia" w:ascii="宋体" w:hAnsi="宋体" w:eastAsia="宋体"/>
          <w:bCs/>
          <w:color w:val="auto"/>
          <w:szCs w:val="21"/>
        </w:rPr>
        <w:t>满足要求，查测量设备检定/校准证书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/>
          <w:bCs/>
          <w:color w:val="auto"/>
          <w:szCs w:val="21"/>
        </w:rPr>
        <w:t>台件，经过检定/校准，测量设备检定和精度等级满足要求。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企业能源计量管理部门对能源计量数据采用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1"/>
          <w:szCs w:val="21"/>
          <w:lang w:val="en-US" w:eastAsia="zh-CN"/>
        </w:rPr>
        <w:t>PCS90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  <w:lang w:val="en-US" w:eastAsia="zh-CN"/>
        </w:rPr>
        <w:t>00能源管控系统进行数据监视并自动生成报表</w:t>
      </w:r>
      <w:r>
        <w:rPr>
          <w:rFonts w:hint="eastAsia" w:ascii="宋体" w:hAnsi="宋体" w:eastAsia="宋体"/>
          <w:bCs/>
          <w:color w:val="auto"/>
          <w:szCs w:val="21"/>
        </w:rPr>
        <w:t>，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平衡、分析和考核均为人工计算分析。配备的测量设备的测量数据和上报报表测量数据一致，查《2020年度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  <w:lang w:val="en-US" w:eastAsia="zh-CN"/>
        </w:rPr>
        <w:t>能耗专项监察自查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报告》、《2020年度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  <w:lang w:val="en-US" w:eastAsia="zh-CN"/>
        </w:rPr>
        <w:t>能源利用状况表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》及《能源计量器具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  <w:lang w:val="en-US" w:eastAsia="zh-CN"/>
        </w:rPr>
        <w:t>台账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》，配备的测量设备的测量数据和上报报表测量数据一致。企业建立了能源统计报表制度，实现了能源计量数据的网络化管理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/>
          <w:bCs/>
          <w:color w:val="auto"/>
          <w:szCs w:val="21"/>
        </w:rPr>
        <w:t>经现场抽查设备完好率为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100</w:t>
      </w:r>
      <w:r>
        <w:rPr>
          <w:rFonts w:hint="eastAsia" w:ascii="宋体" w:hAnsi="宋体" w:eastAsia="宋体"/>
          <w:bCs/>
          <w:color w:val="auto"/>
          <w:szCs w:val="21"/>
        </w:rPr>
        <w:t>%。能源计量管理满足GB17167要求。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Cs w:val="21"/>
          <w:lang w:val="en-US" w:eastAsia="zh-CN"/>
        </w:rPr>
        <w:t>5、</w:t>
      </w:r>
      <w:r>
        <w:rPr>
          <w:rFonts w:hint="default" w:ascii="Times New Roman" w:hAnsi="Times New Roman" w:eastAsia="宋体" w:cs="Times New Roman"/>
          <w:b/>
          <w:bCs w:val="0"/>
          <w:color w:val="auto"/>
          <w:szCs w:val="21"/>
        </w:rPr>
        <w:t>对认证审核时提出的不符合项的纠正措施情况</w:t>
      </w: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Cs w:val="21"/>
        </w:rPr>
        <w:t>：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查20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年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  <w:lang w:val="en-US" w:eastAsia="zh-CN"/>
        </w:rPr>
        <w:t>监督审核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Cs w:val="21"/>
          <w:lang w:val="en-US" w:eastAsia="zh-CN"/>
        </w:rPr>
        <w:t>出具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了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  <w:lang w:val="en-US" w:eastAsia="zh-CN"/>
        </w:rPr>
        <w:t>个次要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不符合项报告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color w:val="auto"/>
          <w:szCs w:val="21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szCs w:val="21"/>
          <w:lang w:eastAsia="zh-CN"/>
        </w:rPr>
        <w:t>）</w:t>
      </w:r>
      <w:r>
        <w:rPr>
          <w:rFonts w:hint="eastAsia" w:ascii="宋体" w:hAnsi="宋体" w:cs="宋体"/>
          <w:b w:val="0"/>
          <w:bCs w:val="0"/>
          <w:color w:val="auto"/>
          <w:szCs w:val="21"/>
        </w:rPr>
        <w:t>查</w:t>
      </w:r>
      <w:r>
        <w:rPr>
          <w:rFonts w:hint="eastAsia" w:ascii="宋体" w:hAnsi="宋体" w:cs="宋体"/>
          <w:b w:val="0"/>
          <w:bCs w:val="0"/>
          <w:color w:val="auto"/>
          <w:szCs w:val="21"/>
          <w:lang w:val="en-US" w:eastAsia="zh-CN"/>
        </w:rPr>
        <w:t>计量质检部的编号为A20-091401的“重量偏差原始记录”，没有审核人员的签字，不符合7.2.4(a)测量过程的记录要求。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cs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lang w:val="en-US" w:eastAsia="zh-CN"/>
        </w:rPr>
        <w:t>（2）查安环部，没有按照外部供方管理要求，对服务方“江苏恒正检测技术有限公司”的检测能力、服务质量进行评价，并记录保存评价结果。不符合“6.4外部供方“”的要求。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color w:val="FF0000"/>
          <w:kern w:val="0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企业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Cs w:val="21"/>
          <w:lang w:val="en-US" w:eastAsia="zh-CN"/>
        </w:rPr>
        <w:t>已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对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Cs w:val="21"/>
          <w:lang w:val="en-US" w:eastAsia="zh-CN"/>
        </w:rPr>
        <w:t>上述2个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不符合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Cs w:val="21"/>
          <w:lang w:val="en-US" w:eastAsia="zh-CN"/>
        </w:rPr>
        <w:t>实施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了纠正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Cs w:val="21"/>
          <w:lang w:eastAsia="zh-CN"/>
        </w:rPr>
        <w:t>，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Cs w:val="21"/>
          <w:lang w:val="en-US" w:eastAsia="zh-CN"/>
        </w:rPr>
        <w:t>审核组对纠正整改的见证性资料进行了验证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</w:rPr>
        <w:t>，确认企业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的纠正措施已得到落实，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</w:rPr>
        <w:t>不合格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控制有效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</w:rPr>
        <w:t>，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符合要求，</w:t>
      </w:r>
      <w:r>
        <w:rPr>
          <w:rFonts w:hint="eastAsia" w:ascii="宋体" w:hAnsi="宋体" w:eastAsia="宋体" w:cs="宋体"/>
          <w:color w:val="auto"/>
          <w:szCs w:val="21"/>
        </w:rPr>
        <w:t>同意关闭不符合项。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Cs w:val="21"/>
        </w:rPr>
        <w:t>对</w:t>
      </w:r>
      <w:r>
        <w:rPr>
          <w:rFonts w:hint="default" w:ascii="Times New Roman" w:hAnsi="Times New Roman" w:eastAsia="宋体" w:cs="Times New Roman"/>
          <w:b/>
          <w:bCs/>
          <w:color w:val="auto"/>
          <w:szCs w:val="21"/>
        </w:rPr>
        <w:t>投诉的处理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Cs w:val="21"/>
        </w:rPr>
        <w:t>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szCs w:val="21"/>
        </w:rPr>
        <w:t>202</w:t>
      </w: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Cs/>
          <w:szCs w:val="21"/>
        </w:rPr>
        <w:t>年度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内</w:t>
      </w:r>
      <w:r>
        <w:rPr>
          <w:rFonts w:hint="default" w:ascii="Times New Roman" w:hAnsi="Times New Roman" w:eastAsia="宋体" w:cs="Times New Roman"/>
          <w:bCs/>
          <w:szCs w:val="21"/>
          <w:highlight w:val="none"/>
          <w:lang w:val="en-US" w:eastAsia="zh-CN"/>
        </w:rPr>
        <w:t>部顾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客满意度</w:t>
      </w:r>
      <w:r>
        <w:rPr>
          <w:rFonts w:hint="eastAsia" w:ascii="Times New Roman" w:hAnsi="Times New Roman" w:eastAsia="宋体" w:cs="Times New Roman"/>
          <w:bCs/>
          <w:szCs w:val="21"/>
          <w:highlight w:val="none"/>
          <w:lang w:val="en-US" w:eastAsia="zh-CN"/>
        </w:rPr>
        <w:t>总计达到99.5</w:t>
      </w:r>
      <w:r>
        <w:rPr>
          <w:rFonts w:hint="default" w:ascii="Times New Roman" w:hAnsi="Times New Roman" w:eastAsia="宋体" w:cs="Times New Roman"/>
          <w:szCs w:val="21"/>
          <w:highlight w:val="none"/>
        </w:rPr>
        <w:t>%</w:t>
      </w:r>
      <w:r>
        <w:rPr>
          <w:rFonts w:hint="default" w:ascii="Times New Roman" w:hAnsi="Times New Roman" w:eastAsia="宋体" w:cs="Times New Roman"/>
          <w:szCs w:val="21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整体顾客评价结果为4.5分，结果为优秀。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企业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  <w:lang w:val="en-US" w:eastAsia="zh-CN"/>
        </w:rPr>
        <w:t>未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有顾客的投诉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bCs/>
          <w:color w:val="auto"/>
          <w:szCs w:val="21"/>
        </w:rPr>
        <w:t>未有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违反法律、法规问题和产品质量问题的投诉或重大质量事故发生。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Cs w:val="21"/>
          <w:lang w:val="en-US" w:eastAsia="zh-CN"/>
        </w:rPr>
        <w:t>7、</w:t>
      </w:r>
      <w:r>
        <w:rPr>
          <w:rFonts w:hint="default" w:ascii="Times New Roman" w:hAnsi="Times New Roman" w:eastAsia="宋体" w:cs="Times New Roman"/>
          <w:b/>
          <w:bCs w:val="0"/>
          <w:color w:val="auto"/>
          <w:szCs w:val="21"/>
        </w:rPr>
        <w:t>测量管理体系在实现获证客户目标方面的有效性及持续的运作控制</w:t>
      </w: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Cs w:val="21"/>
        </w:rPr>
        <w:t>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7.1.企业</w:t>
      </w:r>
      <w:r>
        <w:rPr>
          <w:rFonts w:hint="default" w:ascii="Times New Roman" w:hAnsi="Times New Roman" w:eastAsia="宋体" w:cs="Times New Roman"/>
          <w:bCs/>
          <w:szCs w:val="21"/>
        </w:rPr>
        <w:t>领导层重视测量管理体系各项工作，职能部门</w:t>
      </w: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bCs/>
          <w:szCs w:val="21"/>
        </w:rPr>
        <w:t>职能作用发挥较好，测量管理体系运行正常，并持续符合相关法律、法规的要求。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szCs w:val="21"/>
        </w:rPr>
      </w:pPr>
      <w:r>
        <w:rPr>
          <w:rFonts w:hint="default" w:ascii="Times New Roman" w:hAnsi="Times New Roman" w:eastAsia="宋体" w:cs="Times New Roman"/>
          <w:bCs/>
          <w:color w:val="auto"/>
          <w:szCs w:val="21"/>
          <w:lang w:val="en-US" w:eastAsia="zh-CN"/>
        </w:rPr>
        <w:t>7.2</w:t>
      </w:r>
      <w:r>
        <w:rPr>
          <w:rFonts w:hint="default" w:ascii="Times New Roman" w:hAnsi="Times New Roman" w:eastAsia="宋体" w:cs="Times New Roman"/>
          <w:bCs/>
          <w:color w:val="auto"/>
          <w:szCs w:val="21"/>
        </w:rPr>
        <w:t>公司制定了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Cs/>
          <w:color w:val="auto"/>
          <w:szCs w:val="21"/>
        </w:rPr>
        <w:t>项质量目标，对目标进行了分解，</w:t>
      </w:r>
      <w:r>
        <w:rPr>
          <w:rFonts w:hint="default" w:ascii="Times New Roman" w:hAnsi="Times New Roman" w:eastAsia="宋体" w:cs="Times New Roman"/>
          <w:bCs/>
          <w:szCs w:val="21"/>
        </w:rPr>
        <w:t>内容基本覆盖标准要素</w:t>
      </w:r>
      <w:r>
        <w:rPr>
          <w:rFonts w:hint="default" w:ascii="Times New Roman" w:hAnsi="Times New Roman" w:eastAsia="宋体" w:cs="Times New Roman"/>
          <w:bCs/>
          <w:szCs w:val="21"/>
          <w:lang w:eastAsia="zh-CN"/>
        </w:rPr>
        <w:t>。</w:t>
      </w:r>
      <w:r>
        <w:rPr>
          <w:rFonts w:hint="default" w:ascii="Times New Roman" w:hAnsi="Times New Roman" w:eastAsia="宋体" w:cs="Times New Roman"/>
          <w:bCs/>
          <w:color w:val="auto"/>
          <w:szCs w:val="21"/>
        </w:rPr>
        <w:t>查</w:t>
      </w:r>
      <w:r>
        <w:rPr>
          <w:rFonts w:hint="default" w:ascii="Times New Roman" w:hAnsi="Times New Roman" w:eastAsia="宋体" w:cs="Times New Roman"/>
          <w:bCs/>
          <w:color w:val="auto"/>
          <w:szCs w:val="21"/>
          <w:lang w:val="en-US" w:eastAsia="zh-CN"/>
        </w:rPr>
        <w:t>企业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20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年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auto"/>
          <w:szCs w:val="21"/>
          <w:highlight w:val="none"/>
          <w:lang w:val="en-US" w:eastAsia="zh-CN"/>
        </w:rPr>
        <w:t>～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highlight w:val="none"/>
          <w:lang w:val="en-US" w:eastAsia="zh-CN"/>
        </w:rPr>
        <w:t>3季度</w:t>
      </w:r>
      <w:r>
        <w:rPr>
          <w:rFonts w:hint="default" w:ascii="Times New Roman" w:hAnsi="Times New Roman" w:eastAsia="宋体" w:cs="Times New Roman"/>
          <w:bCs/>
          <w:color w:val="auto"/>
          <w:szCs w:val="21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bCs/>
          <w:szCs w:val="21"/>
        </w:rPr>
        <w:t>质量目标完成情况</w:t>
      </w:r>
      <w:r>
        <w:rPr>
          <w:rFonts w:hint="default" w:ascii="Times New Roman" w:hAnsi="Times New Roman" w:eastAsia="宋体" w:cs="Times New Roman"/>
          <w:bCs/>
          <w:color w:val="auto"/>
          <w:szCs w:val="21"/>
        </w:rPr>
        <w:t>检查表，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lang w:val="en-US" w:eastAsia="zh-CN"/>
        </w:rPr>
        <w:t>各项质量目标均已达到要求。</w:t>
      </w:r>
      <w:r>
        <w:rPr>
          <w:rFonts w:hint="default" w:ascii="Times New Roman" w:hAnsi="Times New Roman" w:eastAsia="宋体" w:cs="Times New Roman"/>
          <w:bCs/>
          <w:color w:val="auto"/>
          <w:szCs w:val="21"/>
        </w:rPr>
        <w:t>质量目标管理满足要求。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szCs w:val="21"/>
        </w:rPr>
      </w:pPr>
      <w:r>
        <w:rPr>
          <w:rFonts w:hint="eastAsia" w:ascii="Times New Roman" w:hAnsi="Times New Roman" w:eastAsia="宋体" w:cs="Times New Roman"/>
          <w:bCs/>
          <w:color w:val="auto"/>
          <w:kern w:val="0"/>
          <w:sz w:val="21"/>
          <w:szCs w:val="21"/>
          <w:highlight w:val="none"/>
          <w:lang w:val="en-US" w:eastAsia="zh-CN"/>
        </w:rPr>
        <w:t>7.3</w:t>
      </w:r>
      <w:r>
        <w:rPr>
          <w:rFonts w:hAnsi="宋体"/>
          <w:color w:val="auto"/>
          <w:szCs w:val="21"/>
        </w:rPr>
        <w:t>查</w:t>
      </w:r>
      <w:r>
        <w:rPr>
          <w:szCs w:val="21"/>
        </w:rPr>
        <w:t>2021</w:t>
      </w:r>
      <w:r>
        <w:rPr>
          <w:rFonts w:hAnsi="宋体"/>
          <w:szCs w:val="21"/>
        </w:rPr>
        <w:t>年</w:t>
      </w:r>
      <w:r>
        <w:rPr>
          <w:szCs w:val="21"/>
        </w:rPr>
        <w:t>“</w:t>
      </w:r>
      <w:r>
        <w:rPr>
          <w:rFonts w:hAnsi="宋体"/>
          <w:szCs w:val="21"/>
        </w:rPr>
        <w:t>测量设备合格供方的清单</w:t>
      </w:r>
      <w:r>
        <w:rPr>
          <w:szCs w:val="21"/>
        </w:rPr>
        <w:t>”</w:t>
      </w:r>
      <w:r>
        <w:rPr>
          <w:rFonts w:hAnsi="宋体"/>
          <w:szCs w:val="21"/>
        </w:rPr>
        <w:t>，共有</w:t>
      </w:r>
      <w:r>
        <w:rPr>
          <w:szCs w:val="21"/>
        </w:rPr>
        <w:t xml:space="preserve"> 5</w:t>
      </w:r>
      <w:r>
        <w:rPr>
          <w:rFonts w:hint="eastAsia"/>
          <w:szCs w:val="21"/>
          <w:lang w:val="en-US" w:eastAsia="zh-CN"/>
        </w:rPr>
        <w:t>家</w:t>
      </w:r>
      <w:r>
        <w:rPr>
          <w:rFonts w:hAnsi="宋体"/>
          <w:szCs w:val="21"/>
        </w:rPr>
        <w:t>合格供方，</w:t>
      </w:r>
      <w:r>
        <w:rPr>
          <w:rFonts w:hint="eastAsia" w:hAnsi="宋体"/>
          <w:szCs w:val="21"/>
          <w:lang w:val="en-US" w:eastAsia="zh-CN"/>
        </w:rPr>
        <w:t>每</w:t>
      </w:r>
      <w:r>
        <w:rPr>
          <w:rFonts w:hAnsi="宋体"/>
          <w:szCs w:val="21"/>
        </w:rPr>
        <w:t>年对</w:t>
      </w:r>
      <w:r>
        <w:rPr>
          <w:rFonts w:hint="eastAsia" w:hAnsi="宋体"/>
          <w:szCs w:val="21"/>
          <w:lang w:val="en-US" w:eastAsia="zh-CN"/>
        </w:rPr>
        <w:t>各个</w:t>
      </w:r>
      <w:r>
        <w:rPr>
          <w:rFonts w:hAnsi="宋体"/>
          <w:szCs w:val="21"/>
        </w:rPr>
        <w:t>供方进行评价，查</w:t>
      </w:r>
      <w:r>
        <w:rPr>
          <w:szCs w:val="21"/>
        </w:rPr>
        <w:t>“</w:t>
      </w:r>
      <w:r>
        <w:rPr>
          <w:rFonts w:hAnsi="宋体"/>
          <w:szCs w:val="21"/>
        </w:rPr>
        <w:t>合格供方调查、评价表</w:t>
      </w:r>
      <w:r>
        <w:rPr>
          <w:szCs w:val="21"/>
        </w:rPr>
        <w:t>”</w:t>
      </w:r>
      <w:r>
        <w:rPr>
          <w:rFonts w:hAnsi="宋体"/>
          <w:szCs w:val="21"/>
        </w:rPr>
        <w:t>，对平潭津力电子科技有限公司（主供产品：电气、仪表），进行了评价，经计量质检部、管代进行综合评价为合格供方，产品满足企业要求。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hAnsi="宋体"/>
          <w:szCs w:val="21"/>
          <w:lang w:eastAsia="zh-CN"/>
        </w:rPr>
      </w:pPr>
      <w:r>
        <w:rPr>
          <w:rFonts w:hAnsi="宋体"/>
          <w:szCs w:val="21"/>
        </w:rPr>
        <w:t>查</w:t>
      </w:r>
      <w:r>
        <w:rPr>
          <w:rFonts w:hint="eastAsia" w:hAnsi="宋体"/>
          <w:szCs w:val="21"/>
          <w:lang w:val="en-US" w:eastAsia="zh-CN"/>
        </w:rPr>
        <w:t>检定校准</w:t>
      </w:r>
      <w:r>
        <w:rPr>
          <w:szCs w:val="21"/>
        </w:rPr>
        <w:t>“</w:t>
      </w:r>
      <w:r>
        <w:rPr>
          <w:rFonts w:hAnsi="宋体"/>
          <w:szCs w:val="21"/>
        </w:rPr>
        <w:t>合格服务方调查、评价表</w:t>
      </w:r>
      <w:r>
        <w:rPr>
          <w:szCs w:val="21"/>
        </w:rPr>
        <w:t>”2</w:t>
      </w:r>
      <w:r>
        <w:rPr>
          <w:rFonts w:hAnsi="宋体"/>
          <w:szCs w:val="21"/>
        </w:rPr>
        <w:t>份，已对合格检定机构</w:t>
      </w:r>
      <w:r>
        <w:rPr>
          <w:rFonts w:hint="eastAsia" w:hAnsi="宋体"/>
          <w:szCs w:val="21"/>
          <w:lang w:eastAsia="zh-CN"/>
        </w:rPr>
        <w:t>“</w:t>
      </w:r>
      <w:r>
        <w:rPr>
          <w:rFonts w:hAnsi="宋体"/>
          <w:szCs w:val="21"/>
        </w:rPr>
        <w:t>连云港市赣榆区综合检验检测中心</w:t>
      </w:r>
      <w:r>
        <w:rPr>
          <w:rFonts w:hint="eastAsia" w:hAnsi="宋体"/>
          <w:szCs w:val="21"/>
          <w:lang w:eastAsia="zh-CN"/>
        </w:rPr>
        <w:t>”、“</w:t>
      </w:r>
      <w:r>
        <w:rPr>
          <w:rFonts w:hAnsi="宋体"/>
          <w:szCs w:val="21"/>
        </w:rPr>
        <w:t>连云港市计量检定测试中心</w:t>
      </w:r>
      <w:r>
        <w:rPr>
          <w:rFonts w:hint="eastAsia" w:hAnsi="宋体"/>
          <w:szCs w:val="21"/>
          <w:lang w:eastAsia="zh-CN"/>
        </w:rPr>
        <w:t>”</w:t>
      </w:r>
      <w:r>
        <w:rPr>
          <w:rFonts w:hAnsi="宋体"/>
          <w:szCs w:val="21"/>
        </w:rPr>
        <w:t>提供的服务进行评价和监视，符合要求</w:t>
      </w:r>
      <w:r>
        <w:rPr>
          <w:rFonts w:hint="eastAsia" w:hAnsi="宋体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hAnsi="宋体"/>
          <w:color w:val="auto"/>
          <w:szCs w:val="21"/>
          <w:lang w:val="en-US" w:eastAsia="zh-CN"/>
        </w:rPr>
      </w:pPr>
      <w:r>
        <w:rPr>
          <w:rFonts w:hint="eastAsia" w:hAnsi="宋体"/>
          <w:color w:val="auto"/>
          <w:szCs w:val="21"/>
          <w:lang w:val="en-US" w:eastAsia="zh-CN"/>
        </w:rPr>
        <w:t>查编号BX-4-CG-21《 2021年度合格供应商名单》,原材物料的外部合格供方共21家，企业对外部供方有评价，对合格供方进行动态管理，</w:t>
      </w:r>
      <w:r>
        <w:rPr>
          <w:rFonts w:hint="eastAsia" w:hAnsi="宋体"/>
          <w:color w:val="auto"/>
          <w:szCs w:val="21"/>
          <w:lang w:val="en-US" w:eastAsia="zh-CN"/>
        </w:rPr>
        <w:t>有供方提供的产品和服务记录。查《供应商业绩评定表》，查对外部供方“济南麦哈勃冶金技术开发有限公司”的评价和监视记录，产品满足企业要求。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Cs w:val="21"/>
          <w:lang w:val="en-US" w:eastAsia="zh-CN"/>
        </w:rPr>
        <w:t>8、</w:t>
      </w:r>
      <w:r>
        <w:rPr>
          <w:rFonts w:hint="default" w:ascii="Times New Roman" w:hAnsi="Times New Roman" w:eastAsia="宋体" w:cs="Times New Roman"/>
          <w:b/>
          <w:bCs w:val="0"/>
          <w:color w:val="auto"/>
          <w:szCs w:val="21"/>
        </w:rPr>
        <w:t>对企业组织任何变更的审核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企业营业执照和组织机构未发生变化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  <w:lang w:val="en-US" w:eastAsia="zh-CN"/>
        </w:rPr>
        <w:t>没有产品的增加。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Cs w:val="21"/>
          <w:lang w:val="en-US" w:eastAsia="zh-CN"/>
        </w:rPr>
        <w:t>9、</w:t>
      </w:r>
      <w:r>
        <w:rPr>
          <w:rFonts w:hint="default" w:ascii="Times New Roman" w:hAnsi="Times New Roman" w:eastAsia="宋体" w:cs="Times New Roman"/>
          <w:b/>
          <w:bCs w:val="0"/>
          <w:color w:val="auto"/>
          <w:szCs w:val="21"/>
        </w:rPr>
        <w:t>标志的使用和（或）任何其他对认证资</w:t>
      </w:r>
      <w:r>
        <w:rPr>
          <w:rFonts w:hint="default" w:ascii="Times New Roman" w:hAnsi="Times New Roman" w:eastAsia="宋体" w:cs="Times New Roman"/>
          <w:b/>
          <w:bCs w:val="0"/>
          <w:color w:val="auto"/>
        </w:rPr>
        <w:t>格引用</w:t>
      </w: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Cs w:val="21"/>
        </w:rPr>
        <w:t>的情况：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kern w:val="0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9.1.</w:t>
      </w:r>
      <w:r>
        <w:rPr>
          <w:rFonts w:hint="default" w:ascii="Times New Roman" w:hAnsi="Times New Roman" w:eastAsia="宋体" w:cs="Times New Roman"/>
          <w:kern w:val="0"/>
          <w:szCs w:val="21"/>
          <w:lang w:eastAsia="zh-CN"/>
        </w:rPr>
        <w:t>企业</w:t>
      </w:r>
      <w:r>
        <w:rPr>
          <w:rFonts w:hint="default" w:ascii="Times New Roman" w:hAnsi="Times New Roman" w:eastAsia="宋体" w:cs="Times New Roman"/>
          <w:kern w:val="0"/>
          <w:szCs w:val="21"/>
        </w:rPr>
        <w:t>对标志的使用，符合相关标准和规定</w:t>
      </w:r>
      <w:r>
        <w:rPr>
          <w:rFonts w:hint="default" w:ascii="Times New Roman" w:hAnsi="Times New Roman" w:eastAsia="宋体" w:cs="Times New Roman"/>
          <w:kern w:val="0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9.2.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eastAsia="zh-CN"/>
        </w:rPr>
        <w:t>企业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测量管理体系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认证证书用于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开发国内市场及企业形象广告宣传。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9.3企业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用于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进行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产品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招投标。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  <w:lang w:val="en-US" w:eastAsia="zh-CN"/>
        </w:rPr>
        <w:t>10、</w:t>
      </w:r>
      <w:r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</w:rPr>
        <w:t>本次监督审核发现</w:t>
      </w:r>
      <w:r>
        <w:rPr>
          <w:rFonts w:hint="eastAsia" w:ascii="Times New Roman" w:hAnsi="Times New Roman" w:eastAsia="宋体" w:cs="Times New Roman"/>
          <w:b/>
          <w:bCs/>
          <w:kern w:val="0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</w:rPr>
        <w:t>个不符合情况，属于次要不符合</w:t>
      </w:r>
      <w:r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08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highlight w:val="yellow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  <w:highlight w:val="none"/>
        </w:rPr>
        <w:t>不符合01：</w:t>
      </w:r>
      <w:r>
        <w:rPr>
          <w:rFonts w:hint="eastAsia" w:ascii="宋体" w:hAnsi="宋体" w:cs="宋体"/>
          <w:color w:val="auto"/>
          <w:kern w:val="0"/>
          <w:szCs w:val="21"/>
        </w:rPr>
        <w:t>查设备部“智能压力校验仪”检定证书有效期至202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0</w:t>
      </w:r>
      <w:r>
        <w:rPr>
          <w:rFonts w:hint="eastAsia" w:ascii="宋体" w:hAnsi="宋体" w:cs="宋体"/>
          <w:color w:val="auto"/>
          <w:kern w:val="0"/>
          <w:szCs w:val="21"/>
        </w:rPr>
        <w:t>年7月11日，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经确认</w:t>
      </w:r>
      <w:r>
        <w:rPr>
          <w:rFonts w:hint="eastAsia" w:ascii="宋体" w:hAnsi="宋体" w:cs="宋体"/>
          <w:color w:val="auto"/>
          <w:kern w:val="0"/>
          <w:szCs w:val="21"/>
        </w:rPr>
        <w:t>未送检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。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不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符合认证审核准则条款 “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3.2溯源性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”的要求。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512" w:rightChars="-244"/>
        <w:textAlignment w:val="auto"/>
        <w:rPr>
          <w:rFonts w:hint="default" w:ascii="Times New Roman" w:hAnsi="Times New Roman" w:eastAsia="宋体" w:cs="Times New Roman"/>
          <w:color w:val="auto"/>
          <w:kern w:val="0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Cs w:val="21"/>
        </w:rPr>
        <w:t>三、监督审核结论意见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(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含需要说</w:t>
      </w:r>
      <w:r>
        <w:rPr>
          <w:rFonts w:hint="default" w:ascii="Times New Roman" w:hAnsi="Times New Roman" w:eastAsia="宋体" w:cs="Times New Roman"/>
          <w:color w:val="auto"/>
          <w:kern w:val="0"/>
          <w:szCs w:val="28"/>
        </w:rPr>
        <w:t>明的事项):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kern w:val="0"/>
          <w:szCs w:val="21"/>
        </w:rPr>
      </w:pPr>
      <w:r>
        <w:rPr>
          <w:rFonts w:hint="default" w:ascii="Times New Roman" w:hAnsi="Times New Roman" w:eastAsia="宋体" w:cs="Times New Roman"/>
          <w:bCs/>
          <w:kern w:val="0"/>
          <w:szCs w:val="21"/>
        </w:rPr>
        <w:t>通过202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年</w:t>
      </w:r>
      <w:r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月2</w:t>
      </w:r>
      <w:r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  <w:t>5日上午</w:t>
      </w: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～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202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年</w:t>
      </w:r>
      <w:r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月</w:t>
      </w:r>
      <w:r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  <w:t>26日下午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对</w:t>
      </w:r>
      <w:r>
        <w:rPr>
          <w:rFonts w:hint="eastAsia" w:ascii="宋体" w:hAnsi="宋体"/>
          <w:sz w:val="21"/>
          <w:szCs w:val="21"/>
          <w:u w:val="none"/>
        </w:rPr>
        <w:t>江苏省镔鑫钢铁集团有限公司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测量管理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体系</w:t>
      </w:r>
      <w:r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  <w:t>现场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监督审核，验证了公司测量管理体系在上一年度监督审核后一年内，公司领导重视体系运行和管理，体系文件得到有效实施；关键测量过程</w:t>
      </w:r>
      <w:r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  <w:t>得到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持续监控</w:t>
      </w:r>
      <w:r>
        <w:rPr>
          <w:rFonts w:hint="eastAsia" w:ascii="Times New Roman" w:hAnsi="Times New Roman" w:eastAsia="宋体" w:cs="Times New Roman"/>
          <w:bCs/>
          <w:kern w:val="0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监视方法正确有效，重要测量人员能力受控，测量设备、测量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过程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、测量记录管理等各项工作，比上一年度更加完善和规范，公司测量体系持续满足顾客的测量要求。综上所述，审核组认为，</w:t>
      </w:r>
      <w:r>
        <w:rPr>
          <w:rFonts w:cs="宋体" w:asciiTheme="minorEastAsia" w:hAnsiTheme="minorEastAsia"/>
          <w:kern w:val="0"/>
          <w:szCs w:val="21"/>
        </w:rPr>
        <w:t>江苏宜尔杉集团有限公司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测量管理体系的运行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符合GB/T 19022-2003标准要求，对体系运行具有持续的有效性、符合性予以肯定。建议报请国标联合认证有限公司批准通过202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年度监督审核。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kern w:val="0"/>
          <w:szCs w:val="21"/>
        </w:rPr>
      </w:pPr>
      <w:r>
        <w:rPr>
          <w:rFonts w:hint="default" w:ascii="Times New Roman" w:hAnsi="Times New Roman" w:eastAsia="宋体" w:cs="Times New Roman"/>
          <w:bCs/>
          <w:kern w:val="0"/>
          <w:szCs w:val="21"/>
        </w:rPr>
        <w:t>为促进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和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支持企业测量管理体系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进一步有效运行和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持续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完善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，提出以下几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点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建议：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加强测量设备的管控和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计量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确认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工作</w:t>
      </w:r>
      <w:r>
        <w:rPr>
          <w:rFonts w:hint="eastAsia" w:asciiTheme="minorEastAsia" w:hAnsiTheme="minorEastAsia"/>
          <w:bCs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2、加强</w:t>
      </w:r>
      <w:r>
        <w:rPr>
          <w:rFonts w:hint="eastAsia" w:asciiTheme="minorEastAsia" w:hAnsiTheme="minorEastAsia"/>
          <w:bCs/>
          <w:szCs w:val="21"/>
          <w:lang w:eastAsia="zh-CN"/>
        </w:rPr>
        <w:t>外部服务方工作质量的管理，对</w:t>
      </w:r>
      <w:r>
        <w:rPr>
          <w:rFonts w:hint="eastAsia" w:asciiTheme="minorEastAsia" w:hAnsiTheme="minorEastAsia"/>
          <w:bCs/>
          <w:szCs w:val="21"/>
          <w:lang w:val="en-US" w:eastAsia="zh-CN"/>
        </w:rPr>
        <w:t>检定</w:t>
      </w:r>
      <w:r>
        <w:rPr>
          <w:rFonts w:hint="eastAsia" w:asciiTheme="minorEastAsia" w:hAnsiTheme="minorEastAsia"/>
          <w:bCs/>
          <w:szCs w:val="21"/>
          <w:lang w:eastAsia="zh-CN"/>
        </w:rPr>
        <w:t>校准机构出具的“校准证书”要认真确认。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inorEastAsia" w:hAnsiTheme="minorEastAsia"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  <w:t>3、</w:t>
      </w:r>
      <w:r>
        <w:rPr>
          <w:rFonts w:hint="eastAsia" w:asciiTheme="minorEastAsia" w:hAnsiTheme="minorEastAsia"/>
          <w:bCs/>
          <w:szCs w:val="21"/>
          <w:lang w:eastAsia="zh-CN"/>
        </w:rPr>
        <w:t>加强标准的学习和宣贯，将测量管理体系和其他体系相融合，提升企业的管理水平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4、</w:t>
      </w:r>
      <w:r>
        <w:rPr>
          <w:rFonts w:hint="eastAsia" w:asciiTheme="minorEastAsia" w:hAnsiTheme="minorEastAsia"/>
          <w:bCs/>
          <w:szCs w:val="21"/>
          <w:lang w:eastAsia="zh-CN"/>
        </w:rPr>
        <w:t>进一步提高内审工作质量，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避免</w:t>
      </w:r>
      <w:r>
        <w:rPr>
          <w:rFonts w:hint="eastAsia" w:asciiTheme="minorEastAsia" w:hAnsiTheme="minorEastAsia"/>
          <w:bCs/>
          <w:szCs w:val="21"/>
          <w:lang w:eastAsia="zh-CN"/>
        </w:rPr>
        <w:t>内审工作</w:t>
      </w:r>
      <w:r>
        <w:rPr>
          <w:rFonts w:hint="eastAsia" w:asciiTheme="minorEastAsia" w:hAnsiTheme="minorEastAsia"/>
          <w:bCs/>
          <w:szCs w:val="21"/>
          <w:lang w:val="en-US" w:eastAsia="zh-CN"/>
        </w:rPr>
        <w:t>的形式化</w:t>
      </w:r>
      <w:r>
        <w:rPr>
          <w:rFonts w:hint="eastAsia" w:asciiTheme="minorEastAsia" w:hAnsiTheme="minorEastAsia"/>
          <w:bCs/>
          <w:szCs w:val="21"/>
          <w:lang w:eastAsia="zh-CN"/>
        </w:rPr>
        <w:t>，每年审核要有新的发现，真正</w:t>
      </w:r>
      <w:r>
        <w:rPr>
          <w:rFonts w:hint="eastAsia" w:asciiTheme="minorEastAsia" w:hAnsiTheme="minorEastAsia"/>
          <w:bCs/>
          <w:szCs w:val="21"/>
          <w:lang w:val="en-US" w:eastAsia="zh-CN"/>
        </w:rPr>
        <w:t>发现</w:t>
      </w:r>
      <w:r>
        <w:rPr>
          <w:rFonts w:hint="eastAsia" w:asciiTheme="minorEastAsia" w:hAnsiTheme="minorEastAsia"/>
          <w:bCs/>
          <w:szCs w:val="21"/>
          <w:lang w:eastAsia="zh-CN"/>
        </w:rPr>
        <w:t>企业在测量过程控制和测量设备使用、管理中存在的问题，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并举一反三解决问题。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164465</wp:posOffset>
            </wp:positionV>
            <wp:extent cx="735330" cy="438785"/>
            <wp:effectExtent l="0" t="0" r="1270" b="5715"/>
            <wp:wrapNone/>
            <wp:docPr id="1" name="图片 2" descr="16194824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19482406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审核组组长（签字）：                             日 期：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  <w:t>2021年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  <w:t>月2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  <w:t>日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1192530</wp:posOffset>
            </wp:positionH>
            <wp:positionV relativeFrom="paragraph">
              <wp:posOffset>283845</wp:posOffset>
            </wp:positionV>
            <wp:extent cx="885825" cy="361950"/>
            <wp:effectExtent l="0" t="0" r="0" b="0"/>
            <wp:wrapNone/>
            <wp:docPr id="4" name="图片 2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签名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审核组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  <w:lang w:val="en-US" w:eastAsia="zh-CN"/>
        </w:rPr>
        <w:t>成员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（签字）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  <w:lang w:eastAsia="zh-CN"/>
        </w:rPr>
        <w:t>：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  <w:lang w:val="en-US" w:eastAsia="zh-CN"/>
        </w:rPr>
        <w:t xml:space="preserve">                      </w:t>
      </w:r>
      <w:bookmarkStart w:id="11" w:name="_GoBack"/>
      <w:bookmarkEnd w:id="11"/>
      <w:r>
        <w:rPr>
          <w:rFonts w:hint="eastAsia" w:ascii="Times New Roman" w:hAnsi="Times New Roman" w:eastAsia="宋体" w:cs="Times New Roman"/>
          <w:color w:val="auto"/>
          <w:kern w:val="0"/>
          <w:szCs w:val="21"/>
          <w:lang w:val="en-US" w:eastAsia="zh-CN"/>
        </w:rPr>
        <w:t xml:space="preserve">       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日 期：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  <w:t>2021年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  <w:t>月2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  <w:t>日</w:t>
      </w: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0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246" w:firstLineChars="147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AE7808"/>
    <w:multiLevelType w:val="singleLevel"/>
    <w:tmpl w:val="09AE7808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0D360AD"/>
    <w:multiLevelType w:val="singleLevel"/>
    <w:tmpl w:val="30D360AD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75904"/>
    <w:rsid w:val="001B1819"/>
    <w:rsid w:val="0031103B"/>
    <w:rsid w:val="006C629E"/>
    <w:rsid w:val="0072710A"/>
    <w:rsid w:val="00A46BC8"/>
    <w:rsid w:val="00CA7B12"/>
    <w:rsid w:val="00DA0D3C"/>
    <w:rsid w:val="00DA5899"/>
    <w:rsid w:val="00E76189"/>
    <w:rsid w:val="00F005CA"/>
    <w:rsid w:val="013247BA"/>
    <w:rsid w:val="013E454C"/>
    <w:rsid w:val="0157530C"/>
    <w:rsid w:val="015E2A6E"/>
    <w:rsid w:val="01BE6153"/>
    <w:rsid w:val="01D86899"/>
    <w:rsid w:val="01DB0A4A"/>
    <w:rsid w:val="020E1682"/>
    <w:rsid w:val="021B4FBF"/>
    <w:rsid w:val="02296F60"/>
    <w:rsid w:val="024D7580"/>
    <w:rsid w:val="026D5976"/>
    <w:rsid w:val="027A3744"/>
    <w:rsid w:val="028914FB"/>
    <w:rsid w:val="02992B23"/>
    <w:rsid w:val="02A211BD"/>
    <w:rsid w:val="02AB068F"/>
    <w:rsid w:val="02BC6DC9"/>
    <w:rsid w:val="02D92633"/>
    <w:rsid w:val="02DE4A70"/>
    <w:rsid w:val="036D6FE6"/>
    <w:rsid w:val="037415C5"/>
    <w:rsid w:val="03B34063"/>
    <w:rsid w:val="03E16A2F"/>
    <w:rsid w:val="03E31373"/>
    <w:rsid w:val="03ED150A"/>
    <w:rsid w:val="04211792"/>
    <w:rsid w:val="042B4EA4"/>
    <w:rsid w:val="042C295A"/>
    <w:rsid w:val="04931E8E"/>
    <w:rsid w:val="04DD0F5C"/>
    <w:rsid w:val="04E153B9"/>
    <w:rsid w:val="0503269F"/>
    <w:rsid w:val="051D57E2"/>
    <w:rsid w:val="05226A99"/>
    <w:rsid w:val="052C435B"/>
    <w:rsid w:val="054B0797"/>
    <w:rsid w:val="05770EAA"/>
    <w:rsid w:val="05865D0D"/>
    <w:rsid w:val="059A0E3F"/>
    <w:rsid w:val="05D41905"/>
    <w:rsid w:val="05EF09F9"/>
    <w:rsid w:val="05F431B6"/>
    <w:rsid w:val="061F0E37"/>
    <w:rsid w:val="0670650F"/>
    <w:rsid w:val="06834AEA"/>
    <w:rsid w:val="06D6102A"/>
    <w:rsid w:val="06F044EB"/>
    <w:rsid w:val="07061DF4"/>
    <w:rsid w:val="072376DA"/>
    <w:rsid w:val="072A5671"/>
    <w:rsid w:val="074F2F0D"/>
    <w:rsid w:val="07646D36"/>
    <w:rsid w:val="076B5FA5"/>
    <w:rsid w:val="07986995"/>
    <w:rsid w:val="079D256C"/>
    <w:rsid w:val="07E07087"/>
    <w:rsid w:val="082642D6"/>
    <w:rsid w:val="08332243"/>
    <w:rsid w:val="0854080B"/>
    <w:rsid w:val="08E30F75"/>
    <w:rsid w:val="091D332E"/>
    <w:rsid w:val="092847DD"/>
    <w:rsid w:val="09614D57"/>
    <w:rsid w:val="097F0A94"/>
    <w:rsid w:val="09AF19BC"/>
    <w:rsid w:val="09B304DB"/>
    <w:rsid w:val="09E3399F"/>
    <w:rsid w:val="0A0461E1"/>
    <w:rsid w:val="0A214F5B"/>
    <w:rsid w:val="0A386446"/>
    <w:rsid w:val="0A534AA1"/>
    <w:rsid w:val="0A5C54A2"/>
    <w:rsid w:val="0A721EB2"/>
    <w:rsid w:val="0A953AFF"/>
    <w:rsid w:val="0AA42F80"/>
    <w:rsid w:val="0AE304A5"/>
    <w:rsid w:val="0AEC362B"/>
    <w:rsid w:val="0B576C2A"/>
    <w:rsid w:val="0B857CAC"/>
    <w:rsid w:val="0B9C7F5C"/>
    <w:rsid w:val="0BA846B3"/>
    <w:rsid w:val="0BF2189A"/>
    <w:rsid w:val="0C190F4F"/>
    <w:rsid w:val="0C1C07E8"/>
    <w:rsid w:val="0C433ECE"/>
    <w:rsid w:val="0CB542E9"/>
    <w:rsid w:val="0D2C1C46"/>
    <w:rsid w:val="0D2E6477"/>
    <w:rsid w:val="0D335C3D"/>
    <w:rsid w:val="0D373BB6"/>
    <w:rsid w:val="0D8B5706"/>
    <w:rsid w:val="0D960CED"/>
    <w:rsid w:val="0D9F16A6"/>
    <w:rsid w:val="0DD07E43"/>
    <w:rsid w:val="0E02589B"/>
    <w:rsid w:val="0E0B6ED8"/>
    <w:rsid w:val="0E153722"/>
    <w:rsid w:val="0EA24F25"/>
    <w:rsid w:val="0EE16B36"/>
    <w:rsid w:val="0EFD2530"/>
    <w:rsid w:val="0F1D5A96"/>
    <w:rsid w:val="0F6364E3"/>
    <w:rsid w:val="0F6426CB"/>
    <w:rsid w:val="0F8B4F1B"/>
    <w:rsid w:val="0FA20C78"/>
    <w:rsid w:val="0FAB1F10"/>
    <w:rsid w:val="0FAF01B6"/>
    <w:rsid w:val="0FD168B8"/>
    <w:rsid w:val="0FD64275"/>
    <w:rsid w:val="0FE97001"/>
    <w:rsid w:val="0FF7317A"/>
    <w:rsid w:val="101D3FC0"/>
    <w:rsid w:val="10AD1B3C"/>
    <w:rsid w:val="10B3436A"/>
    <w:rsid w:val="111B5D3C"/>
    <w:rsid w:val="111B68FE"/>
    <w:rsid w:val="118457BD"/>
    <w:rsid w:val="11AD003F"/>
    <w:rsid w:val="11E85E2F"/>
    <w:rsid w:val="120614CE"/>
    <w:rsid w:val="12333216"/>
    <w:rsid w:val="125E330B"/>
    <w:rsid w:val="12EF7041"/>
    <w:rsid w:val="12F72E78"/>
    <w:rsid w:val="130A2E01"/>
    <w:rsid w:val="132B12A5"/>
    <w:rsid w:val="133216E6"/>
    <w:rsid w:val="134C27B0"/>
    <w:rsid w:val="134D7256"/>
    <w:rsid w:val="13553A22"/>
    <w:rsid w:val="136642BB"/>
    <w:rsid w:val="137F7C16"/>
    <w:rsid w:val="138B2845"/>
    <w:rsid w:val="13C80C90"/>
    <w:rsid w:val="13CF17A2"/>
    <w:rsid w:val="13E976E7"/>
    <w:rsid w:val="13EA5800"/>
    <w:rsid w:val="1414525A"/>
    <w:rsid w:val="14253C01"/>
    <w:rsid w:val="14584B03"/>
    <w:rsid w:val="14903D8F"/>
    <w:rsid w:val="14B2093D"/>
    <w:rsid w:val="14F74F7F"/>
    <w:rsid w:val="15272FE9"/>
    <w:rsid w:val="15316576"/>
    <w:rsid w:val="15603933"/>
    <w:rsid w:val="15735AD5"/>
    <w:rsid w:val="1590163C"/>
    <w:rsid w:val="15BC1DE9"/>
    <w:rsid w:val="16177139"/>
    <w:rsid w:val="16585BBD"/>
    <w:rsid w:val="166717FA"/>
    <w:rsid w:val="16A544A5"/>
    <w:rsid w:val="16B87421"/>
    <w:rsid w:val="16C55EF2"/>
    <w:rsid w:val="16EB7FE5"/>
    <w:rsid w:val="16EE3364"/>
    <w:rsid w:val="17174656"/>
    <w:rsid w:val="17297B2F"/>
    <w:rsid w:val="17BD14F1"/>
    <w:rsid w:val="17D82329"/>
    <w:rsid w:val="18200CF5"/>
    <w:rsid w:val="1826728C"/>
    <w:rsid w:val="186F71BB"/>
    <w:rsid w:val="18CC594A"/>
    <w:rsid w:val="18E46F36"/>
    <w:rsid w:val="18F021FA"/>
    <w:rsid w:val="190E64AF"/>
    <w:rsid w:val="19155A59"/>
    <w:rsid w:val="19513B1C"/>
    <w:rsid w:val="19C32386"/>
    <w:rsid w:val="19E668D8"/>
    <w:rsid w:val="1A343650"/>
    <w:rsid w:val="1A5B539B"/>
    <w:rsid w:val="1A8A286B"/>
    <w:rsid w:val="1A937833"/>
    <w:rsid w:val="1ACD69DB"/>
    <w:rsid w:val="1AFA51A3"/>
    <w:rsid w:val="1B5178EF"/>
    <w:rsid w:val="1B713146"/>
    <w:rsid w:val="1B945C2E"/>
    <w:rsid w:val="1BB140B3"/>
    <w:rsid w:val="1BB805F1"/>
    <w:rsid w:val="1BBA2B82"/>
    <w:rsid w:val="1BDB196F"/>
    <w:rsid w:val="1C103F46"/>
    <w:rsid w:val="1C163B1D"/>
    <w:rsid w:val="1C801319"/>
    <w:rsid w:val="1C983655"/>
    <w:rsid w:val="1D185C3B"/>
    <w:rsid w:val="1D4054C2"/>
    <w:rsid w:val="1D500005"/>
    <w:rsid w:val="1DC558B8"/>
    <w:rsid w:val="1DED0650"/>
    <w:rsid w:val="1E7458D9"/>
    <w:rsid w:val="1E90254B"/>
    <w:rsid w:val="1EA4298B"/>
    <w:rsid w:val="1EAA0D23"/>
    <w:rsid w:val="1EAF10D8"/>
    <w:rsid w:val="1ECD7DB4"/>
    <w:rsid w:val="1F0637F8"/>
    <w:rsid w:val="1F366B6D"/>
    <w:rsid w:val="1F375A9A"/>
    <w:rsid w:val="1F4A77C9"/>
    <w:rsid w:val="1F7A2217"/>
    <w:rsid w:val="1F7D0CEC"/>
    <w:rsid w:val="1F804265"/>
    <w:rsid w:val="1F8E320A"/>
    <w:rsid w:val="1FA502D1"/>
    <w:rsid w:val="1FC214EE"/>
    <w:rsid w:val="1FC3243B"/>
    <w:rsid w:val="20006D3E"/>
    <w:rsid w:val="201732B2"/>
    <w:rsid w:val="202A4FD6"/>
    <w:rsid w:val="20333DAB"/>
    <w:rsid w:val="207F705B"/>
    <w:rsid w:val="20833ADD"/>
    <w:rsid w:val="20A81257"/>
    <w:rsid w:val="20EA5EA3"/>
    <w:rsid w:val="212876D3"/>
    <w:rsid w:val="21305602"/>
    <w:rsid w:val="21323D1F"/>
    <w:rsid w:val="215A3275"/>
    <w:rsid w:val="2182613C"/>
    <w:rsid w:val="21CD12AB"/>
    <w:rsid w:val="21CD2136"/>
    <w:rsid w:val="21D94143"/>
    <w:rsid w:val="21F64CD9"/>
    <w:rsid w:val="220C10EF"/>
    <w:rsid w:val="2253559E"/>
    <w:rsid w:val="22640A54"/>
    <w:rsid w:val="230B3804"/>
    <w:rsid w:val="236958EA"/>
    <w:rsid w:val="23804493"/>
    <w:rsid w:val="23983375"/>
    <w:rsid w:val="239A53A4"/>
    <w:rsid w:val="23AC6D56"/>
    <w:rsid w:val="23BA05A0"/>
    <w:rsid w:val="23C20FA4"/>
    <w:rsid w:val="23F6244F"/>
    <w:rsid w:val="23FD0541"/>
    <w:rsid w:val="240371DE"/>
    <w:rsid w:val="24150EC9"/>
    <w:rsid w:val="242063CB"/>
    <w:rsid w:val="243E651A"/>
    <w:rsid w:val="24454805"/>
    <w:rsid w:val="24873C1A"/>
    <w:rsid w:val="248F4660"/>
    <w:rsid w:val="24AA2A7E"/>
    <w:rsid w:val="24BA20B8"/>
    <w:rsid w:val="24CD02CB"/>
    <w:rsid w:val="24FF092B"/>
    <w:rsid w:val="250B08F7"/>
    <w:rsid w:val="259905F8"/>
    <w:rsid w:val="25AD3F19"/>
    <w:rsid w:val="25C302BA"/>
    <w:rsid w:val="25DB6063"/>
    <w:rsid w:val="25EB5F9A"/>
    <w:rsid w:val="25ED7F0B"/>
    <w:rsid w:val="25FC604D"/>
    <w:rsid w:val="26177BDC"/>
    <w:rsid w:val="265027C1"/>
    <w:rsid w:val="2686510F"/>
    <w:rsid w:val="268B08B0"/>
    <w:rsid w:val="269B5E97"/>
    <w:rsid w:val="26AA26DC"/>
    <w:rsid w:val="26C57541"/>
    <w:rsid w:val="27010271"/>
    <w:rsid w:val="2736708B"/>
    <w:rsid w:val="275B0ED8"/>
    <w:rsid w:val="278325A1"/>
    <w:rsid w:val="278A6544"/>
    <w:rsid w:val="27A06702"/>
    <w:rsid w:val="28054A1B"/>
    <w:rsid w:val="284C1365"/>
    <w:rsid w:val="287B04CC"/>
    <w:rsid w:val="28973FBD"/>
    <w:rsid w:val="28E26AF4"/>
    <w:rsid w:val="28EC38B3"/>
    <w:rsid w:val="29032C9C"/>
    <w:rsid w:val="29086B61"/>
    <w:rsid w:val="29413708"/>
    <w:rsid w:val="295878AE"/>
    <w:rsid w:val="295A6408"/>
    <w:rsid w:val="296D6D37"/>
    <w:rsid w:val="29BE0542"/>
    <w:rsid w:val="29D17FE4"/>
    <w:rsid w:val="29EC7263"/>
    <w:rsid w:val="2A005A97"/>
    <w:rsid w:val="2A5D4F4D"/>
    <w:rsid w:val="2AC576E8"/>
    <w:rsid w:val="2AF00A0E"/>
    <w:rsid w:val="2B4308C9"/>
    <w:rsid w:val="2B6D0BBB"/>
    <w:rsid w:val="2B7429B1"/>
    <w:rsid w:val="2B81132F"/>
    <w:rsid w:val="2BE14B32"/>
    <w:rsid w:val="2C310317"/>
    <w:rsid w:val="2C3250D6"/>
    <w:rsid w:val="2C665509"/>
    <w:rsid w:val="2C8A45FE"/>
    <w:rsid w:val="2CB2439D"/>
    <w:rsid w:val="2D180438"/>
    <w:rsid w:val="2D253353"/>
    <w:rsid w:val="2D4A21D6"/>
    <w:rsid w:val="2D537957"/>
    <w:rsid w:val="2D6F1526"/>
    <w:rsid w:val="2D6F78FE"/>
    <w:rsid w:val="2D984D35"/>
    <w:rsid w:val="2DBA7263"/>
    <w:rsid w:val="2DC31624"/>
    <w:rsid w:val="2DD832DB"/>
    <w:rsid w:val="2DF22825"/>
    <w:rsid w:val="2E1B538D"/>
    <w:rsid w:val="2E3435F7"/>
    <w:rsid w:val="2E486802"/>
    <w:rsid w:val="2EB03C5C"/>
    <w:rsid w:val="2EDB7AA4"/>
    <w:rsid w:val="2F28760F"/>
    <w:rsid w:val="2F556EB0"/>
    <w:rsid w:val="2F705B93"/>
    <w:rsid w:val="2FE076BF"/>
    <w:rsid w:val="2FE72FB6"/>
    <w:rsid w:val="2FFB6D58"/>
    <w:rsid w:val="30032AB7"/>
    <w:rsid w:val="30293199"/>
    <w:rsid w:val="304038C3"/>
    <w:rsid w:val="30670884"/>
    <w:rsid w:val="30DB7B71"/>
    <w:rsid w:val="30DF796B"/>
    <w:rsid w:val="30EC4884"/>
    <w:rsid w:val="30EE3227"/>
    <w:rsid w:val="311870DE"/>
    <w:rsid w:val="313E7AE4"/>
    <w:rsid w:val="31504D7B"/>
    <w:rsid w:val="318B6A23"/>
    <w:rsid w:val="31C537A4"/>
    <w:rsid w:val="31D76267"/>
    <w:rsid w:val="3228008D"/>
    <w:rsid w:val="32281895"/>
    <w:rsid w:val="324564DD"/>
    <w:rsid w:val="327F281F"/>
    <w:rsid w:val="32D46EF3"/>
    <w:rsid w:val="32E70991"/>
    <w:rsid w:val="3303286A"/>
    <w:rsid w:val="33087358"/>
    <w:rsid w:val="331F1657"/>
    <w:rsid w:val="333541B0"/>
    <w:rsid w:val="333A28F2"/>
    <w:rsid w:val="336C1AEA"/>
    <w:rsid w:val="342229E3"/>
    <w:rsid w:val="34410E68"/>
    <w:rsid w:val="346C7D3B"/>
    <w:rsid w:val="348E5DC3"/>
    <w:rsid w:val="34977AD1"/>
    <w:rsid w:val="34B34D73"/>
    <w:rsid w:val="34D22145"/>
    <w:rsid w:val="34F13FB1"/>
    <w:rsid w:val="35585F38"/>
    <w:rsid w:val="359B029C"/>
    <w:rsid w:val="35FF7F4D"/>
    <w:rsid w:val="363E7D57"/>
    <w:rsid w:val="36641B2E"/>
    <w:rsid w:val="36907E69"/>
    <w:rsid w:val="36A15C9B"/>
    <w:rsid w:val="36B26758"/>
    <w:rsid w:val="36BC473F"/>
    <w:rsid w:val="36DB1458"/>
    <w:rsid w:val="36EA56EE"/>
    <w:rsid w:val="36FE2636"/>
    <w:rsid w:val="37633B9C"/>
    <w:rsid w:val="37986447"/>
    <w:rsid w:val="37B31890"/>
    <w:rsid w:val="37BC6B81"/>
    <w:rsid w:val="37CA6579"/>
    <w:rsid w:val="37DE53B7"/>
    <w:rsid w:val="385E0962"/>
    <w:rsid w:val="386E274D"/>
    <w:rsid w:val="38795731"/>
    <w:rsid w:val="38E2051B"/>
    <w:rsid w:val="38EC1F41"/>
    <w:rsid w:val="39467259"/>
    <w:rsid w:val="39571ABA"/>
    <w:rsid w:val="39A42813"/>
    <w:rsid w:val="39C140BF"/>
    <w:rsid w:val="39D10145"/>
    <w:rsid w:val="39DA66BF"/>
    <w:rsid w:val="39E75793"/>
    <w:rsid w:val="39FF7D3E"/>
    <w:rsid w:val="3A150FC7"/>
    <w:rsid w:val="3A3E1947"/>
    <w:rsid w:val="3A612CB2"/>
    <w:rsid w:val="3A68221B"/>
    <w:rsid w:val="3A7F2B43"/>
    <w:rsid w:val="3A8A14B9"/>
    <w:rsid w:val="3A9233B6"/>
    <w:rsid w:val="3AA24569"/>
    <w:rsid w:val="3AB76DDA"/>
    <w:rsid w:val="3AE91A2F"/>
    <w:rsid w:val="3AED454D"/>
    <w:rsid w:val="3AF41DC7"/>
    <w:rsid w:val="3B2304CC"/>
    <w:rsid w:val="3B265548"/>
    <w:rsid w:val="3B3B2B3E"/>
    <w:rsid w:val="3B6E1C5C"/>
    <w:rsid w:val="3B7066BD"/>
    <w:rsid w:val="3B7F36FE"/>
    <w:rsid w:val="3B9A3462"/>
    <w:rsid w:val="3BC3110B"/>
    <w:rsid w:val="3BDB6B42"/>
    <w:rsid w:val="3C5C39BA"/>
    <w:rsid w:val="3C7C6829"/>
    <w:rsid w:val="3C9E18AD"/>
    <w:rsid w:val="3CA446A4"/>
    <w:rsid w:val="3CB83A94"/>
    <w:rsid w:val="3CDB7931"/>
    <w:rsid w:val="3CDD75CE"/>
    <w:rsid w:val="3CEA621F"/>
    <w:rsid w:val="3CF728C1"/>
    <w:rsid w:val="3D222A37"/>
    <w:rsid w:val="3D442E8F"/>
    <w:rsid w:val="3D5B1EDA"/>
    <w:rsid w:val="3D7D1FF8"/>
    <w:rsid w:val="3D7F7988"/>
    <w:rsid w:val="3DD57340"/>
    <w:rsid w:val="3DE848AC"/>
    <w:rsid w:val="3DEA3577"/>
    <w:rsid w:val="3DF85497"/>
    <w:rsid w:val="3E197225"/>
    <w:rsid w:val="3E257A5C"/>
    <w:rsid w:val="3E322F4C"/>
    <w:rsid w:val="3E422BEB"/>
    <w:rsid w:val="3E4608AC"/>
    <w:rsid w:val="3E7438A9"/>
    <w:rsid w:val="3E7B61EE"/>
    <w:rsid w:val="3E9637F9"/>
    <w:rsid w:val="3E9B6386"/>
    <w:rsid w:val="3EE26492"/>
    <w:rsid w:val="3EF87BB5"/>
    <w:rsid w:val="3F5A6602"/>
    <w:rsid w:val="3F5B5793"/>
    <w:rsid w:val="3F7B0A5A"/>
    <w:rsid w:val="3FA95FDF"/>
    <w:rsid w:val="3FBE68D2"/>
    <w:rsid w:val="3FF15979"/>
    <w:rsid w:val="3FF24351"/>
    <w:rsid w:val="400F44FB"/>
    <w:rsid w:val="40200D8D"/>
    <w:rsid w:val="4021650D"/>
    <w:rsid w:val="406A0ECD"/>
    <w:rsid w:val="407651AF"/>
    <w:rsid w:val="408D41DB"/>
    <w:rsid w:val="40BA6ECB"/>
    <w:rsid w:val="40D717F4"/>
    <w:rsid w:val="40E20B1A"/>
    <w:rsid w:val="412131AE"/>
    <w:rsid w:val="412454A1"/>
    <w:rsid w:val="41332977"/>
    <w:rsid w:val="41D77565"/>
    <w:rsid w:val="4213236B"/>
    <w:rsid w:val="42361854"/>
    <w:rsid w:val="423815DC"/>
    <w:rsid w:val="425A2D75"/>
    <w:rsid w:val="430D0440"/>
    <w:rsid w:val="43360337"/>
    <w:rsid w:val="43837E2D"/>
    <w:rsid w:val="43A34084"/>
    <w:rsid w:val="43A723C8"/>
    <w:rsid w:val="44100E39"/>
    <w:rsid w:val="44190A76"/>
    <w:rsid w:val="441B2E9F"/>
    <w:rsid w:val="442C3C20"/>
    <w:rsid w:val="44382029"/>
    <w:rsid w:val="444F3986"/>
    <w:rsid w:val="445A7BE6"/>
    <w:rsid w:val="44920564"/>
    <w:rsid w:val="4498171E"/>
    <w:rsid w:val="449F75EC"/>
    <w:rsid w:val="44F028D0"/>
    <w:rsid w:val="451F5AC9"/>
    <w:rsid w:val="45A35F37"/>
    <w:rsid w:val="45B40CD9"/>
    <w:rsid w:val="45C32612"/>
    <w:rsid w:val="45DA4EDC"/>
    <w:rsid w:val="45EF6C8B"/>
    <w:rsid w:val="45F00858"/>
    <w:rsid w:val="45FB76BD"/>
    <w:rsid w:val="466C3F39"/>
    <w:rsid w:val="46A67243"/>
    <w:rsid w:val="46F437A7"/>
    <w:rsid w:val="475D561B"/>
    <w:rsid w:val="4760353F"/>
    <w:rsid w:val="476C3F78"/>
    <w:rsid w:val="47940E35"/>
    <w:rsid w:val="47B06621"/>
    <w:rsid w:val="47F826FC"/>
    <w:rsid w:val="48022B02"/>
    <w:rsid w:val="480342A8"/>
    <w:rsid w:val="480A77CE"/>
    <w:rsid w:val="481F7B1E"/>
    <w:rsid w:val="4856489C"/>
    <w:rsid w:val="4862531A"/>
    <w:rsid w:val="48861812"/>
    <w:rsid w:val="489623A8"/>
    <w:rsid w:val="490D48D4"/>
    <w:rsid w:val="49245EC4"/>
    <w:rsid w:val="49907CC3"/>
    <w:rsid w:val="49A152DA"/>
    <w:rsid w:val="49B24898"/>
    <w:rsid w:val="49EC4426"/>
    <w:rsid w:val="4A194989"/>
    <w:rsid w:val="4A48195B"/>
    <w:rsid w:val="4A4C1F70"/>
    <w:rsid w:val="4A600C8C"/>
    <w:rsid w:val="4A60450C"/>
    <w:rsid w:val="4A854B04"/>
    <w:rsid w:val="4A863577"/>
    <w:rsid w:val="4A935C00"/>
    <w:rsid w:val="4A9B6C4E"/>
    <w:rsid w:val="4AD408C4"/>
    <w:rsid w:val="4AEC59BC"/>
    <w:rsid w:val="4AF96C5C"/>
    <w:rsid w:val="4B0F4E1F"/>
    <w:rsid w:val="4B1B6EF3"/>
    <w:rsid w:val="4B29090C"/>
    <w:rsid w:val="4B4E390A"/>
    <w:rsid w:val="4B5E052C"/>
    <w:rsid w:val="4BA03299"/>
    <w:rsid w:val="4BBA29CE"/>
    <w:rsid w:val="4BFB349F"/>
    <w:rsid w:val="4C2D4177"/>
    <w:rsid w:val="4C3833F6"/>
    <w:rsid w:val="4C75303F"/>
    <w:rsid w:val="4C7A1277"/>
    <w:rsid w:val="4C7F4E4D"/>
    <w:rsid w:val="4D1A3505"/>
    <w:rsid w:val="4D1C18DA"/>
    <w:rsid w:val="4D7C24D1"/>
    <w:rsid w:val="4D8623D6"/>
    <w:rsid w:val="4DAA5E20"/>
    <w:rsid w:val="4DB778D8"/>
    <w:rsid w:val="4DC371E7"/>
    <w:rsid w:val="4DC54B37"/>
    <w:rsid w:val="4DCA4DEF"/>
    <w:rsid w:val="4DE16AE4"/>
    <w:rsid w:val="4DFD6901"/>
    <w:rsid w:val="4E4E4A69"/>
    <w:rsid w:val="4E703FD6"/>
    <w:rsid w:val="4EE50CF2"/>
    <w:rsid w:val="4EEC38DE"/>
    <w:rsid w:val="4EFE4B33"/>
    <w:rsid w:val="4F0213A5"/>
    <w:rsid w:val="4F480790"/>
    <w:rsid w:val="4F6C05EA"/>
    <w:rsid w:val="4FBD4AC3"/>
    <w:rsid w:val="50171262"/>
    <w:rsid w:val="501C05D8"/>
    <w:rsid w:val="50385ACD"/>
    <w:rsid w:val="50957A66"/>
    <w:rsid w:val="50D47012"/>
    <w:rsid w:val="50DB56DC"/>
    <w:rsid w:val="50E02A4C"/>
    <w:rsid w:val="50EF0EF2"/>
    <w:rsid w:val="512B6D2E"/>
    <w:rsid w:val="513E3FCA"/>
    <w:rsid w:val="51ED751B"/>
    <w:rsid w:val="51F816FA"/>
    <w:rsid w:val="5223584A"/>
    <w:rsid w:val="525B4CD0"/>
    <w:rsid w:val="529628C9"/>
    <w:rsid w:val="529937EC"/>
    <w:rsid w:val="52AF2D9E"/>
    <w:rsid w:val="52C347F0"/>
    <w:rsid w:val="52C37514"/>
    <w:rsid w:val="52E87E25"/>
    <w:rsid w:val="531E73CA"/>
    <w:rsid w:val="53436173"/>
    <w:rsid w:val="53841C81"/>
    <w:rsid w:val="5394404D"/>
    <w:rsid w:val="53C32EC6"/>
    <w:rsid w:val="53CF156B"/>
    <w:rsid w:val="53DE4B1A"/>
    <w:rsid w:val="53F22302"/>
    <w:rsid w:val="53F7586D"/>
    <w:rsid w:val="542A7BB2"/>
    <w:rsid w:val="54A92416"/>
    <w:rsid w:val="54AA10E5"/>
    <w:rsid w:val="54D2515D"/>
    <w:rsid w:val="54D64578"/>
    <w:rsid w:val="55106D11"/>
    <w:rsid w:val="553161D4"/>
    <w:rsid w:val="55451FD5"/>
    <w:rsid w:val="55517A42"/>
    <w:rsid w:val="55595386"/>
    <w:rsid w:val="55755FA7"/>
    <w:rsid w:val="559B57DB"/>
    <w:rsid w:val="55CB61C9"/>
    <w:rsid w:val="55E91FCE"/>
    <w:rsid w:val="55FF68F5"/>
    <w:rsid w:val="565C7AD0"/>
    <w:rsid w:val="5666343B"/>
    <w:rsid w:val="567C7787"/>
    <w:rsid w:val="568348B8"/>
    <w:rsid w:val="56D45B47"/>
    <w:rsid w:val="57036942"/>
    <w:rsid w:val="571B4C5F"/>
    <w:rsid w:val="575759FD"/>
    <w:rsid w:val="576F3376"/>
    <w:rsid w:val="57CF47B7"/>
    <w:rsid w:val="57D646F6"/>
    <w:rsid w:val="57F4138C"/>
    <w:rsid w:val="58232D3E"/>
    <w:rsid w:val="584A73B0"/>
    <w:rsid w:val="58621AEA"/>
    <w:rsid w:val="594E4585"/>
    <w:rsid w:val="59604E01"/>
    <w:rsid w:val="596E0CE2"/>
    <w:rsid w:val="598E04C7"/>
    <w:rsid w:val="59A73658"/>
    <w:rsid w:val="59CB7536"/>
    <w:rsid w:val="59ED47CB"/>
    <w:rsid w:val="5A015438"/>
    <w:rsid w:val="5A0A4473"/>
    <w:rsid w:val="5A216A3C"/>
    <w:rsid w:val="5A5F7040"/>
    <w:rsid w:val="5AE84791"/>
    <w:rsid w:val="5B1F0F33"/>
    <w:rsid w:val="5BED2DE3"/>
    <w:rsid w:val="5BF3015B"/>
    <w:rsid w:val="5C44794E"/>
    <w:rsid w:val="5C514050"/>
    <w:rsid w:val="5C9D4A6B"/>
    <w:rsid w:val="5CA07509"/>
    <w:rsid w:val="5CEF042D"/>
    <w:rsid w:val="5D14692C"/>
    <w:rsid w:val="5D2C1285"/>
    <w:rsid w:val="5D330CE3"/>
    <w:rsid w:val="5D3F7BD2"/>
    <w:rsid w:val="5D564A32"/>
    <w:rsid w:val="5D604FD0"/>
    <w:rsid w:val="5DA350E7"/>
    <w:rsid w:val="5DBF1669"/>
    <w:rsid w:val="5DE06165"/>
    <w:rsid w:val="5DF84819"/>
    <w:rsid w:val="5E242CE4"/>
    <w:rsid w:val="5E9D7EC4"/>
    <w:rsid w:val="5EDF4E8B"/>
    <w:rsid w:val="5EEB3C80"/>
    <w:rsid w:val="5EF421CE"/>
    <w:rsid w:val="5EF52E59"/>
    <w:rsid w:val="5F116434"/>
    <w:rsid w:val="5F1621CA"/>
    <w:rsid w:val="5F190737"/>
    <w:rsid w:val="5F1C48A4"/>
    <w:rsid w:val="5F2F7528"/>
    <w:rsid w:val="5F303320"/>
    <w:rsid w:val="5F3118D5"/>
    <w:rsid w:val="5F57679D"/>
    <w:rsid w:val="5F6575BD"/>
    <w:rsid w:val="5F6733FB"/>
    <w:rsid w:val="5F9B383C"/>
    <w:rsid w:val="5FF67F82"/>
    <w:rsid w:val="60235D6A"/>
    <w:rsid w:val="60326F4A"/>
    <w:rsid w:val="60352D8A"/>
    <w:rsid w:val="6072682C"/>
    <w:rsid w:val="60730C6F"/>
    <w:rsid w:val="609F5B6F"/>
    <w:rsid w:val="60A008D2"/>
    <w:rsid w:val="60A90B88"/>
    <w:rsid w:val="60C87879"/>
    <w:rsid w:val="60F01A01"/>
    <w:rsid w:val="611722FF"/>
    <w:rsid w:val="6143524C"/>
    <w:rsid w:val="61561E20"/>
    <w:rsid w:val="61B22A62"/>
    <w:rsid w:val="61FB5C27"/>
    <w:rsid w:val="6210296D"/>
    <w:rsid w:val="621C36CE"/>
    <w:rsid w:val="62EE4635"/>
    <w:rsid w:val="63087391"/>
    <w:rsid w:val="631C2ECC"/>
    <w:rsid w:val="638E2056"/>
    <w:rsid w:val="63BE0875"/>
    <w:rsid w:val="63D66203"/>
    <w:rsid w:val="64001C29"/>
    <w:rsid w:val="64014A85"/>
    <w:rsid w:val="640D4754"/>
    <w:rsid w:val="640D666E"/>
    <w:rsid w:val="640F2E1C"/>
    <w:rsid w:val="642F45B7"/>
    <w:rsid w:val="6430471A"/>
    <w:rsid w:val="643569AD"/>
    <w:rsid w:val="645C3CC7"/>
    <w:rsid w:val="649F5A67"/>
    <w:rsid w:val="650D5E38"/>
    <w:rsid w:val="65106539"/>
    <w:rsid w:val="652125F4"/>
    <w:rsid w:val="657442CB"/>
    <w:rsid w:val="657E5829"/>
    <w:rsid w:val="65A93F15"/>
    <w:rsid w:val="65E264DD"/>
    <w:rsid w:val="66530063"/>
    <w:rsid w:val="665F7CE1"/>
    <w:rsid w:val="667C0CD6"/>
    <w:rsid w:val="668E58AA"/>
    <w:rsid w:val="66FA7813"/>
    <w:rsid w:val="67061A78"/>
    <w:rsid w:val="67612C42"/>
    <w:rsid w:val="676E5748"/>
    <w:rsid w:val="67764BDB"/>
    <w:rsid w:val="67974BCE"/>
    <w:rsid w:val="67AA3294"/>
    <w:rsid w:val="681555B4"/>
    <w:rsid w:val="6816690A"/>
    <w:rsid w:val="68335CA6"/>
    <w:rsid w:val="684B48DF"/>
    <w:rsid w:val="6889264A"/>
    <w:rsid w:val="688F437C"/>
    <w:rsid w:val="68DE4AE6"/>
    <w:rsid w:val="68FD6559"/>
    <w:rsid w:val="69355151"/>
    <w:rsid w:val="694F5E3B"/>
    <w:rsid w:val="699376C2"/>
    <w:rsid w:val="69937F90"/>
    <w:rsid w:val="6A3852B0"/>
    <w:rsid w:val="6A425C2F"/>
    <w:rsid w:val="6A541310"/>
    <w:rsid w:val="6A583AB0"/>
    <w:rsid w:val="6A6E19FF"/>
    <w:rsid w:val="6A780BA1"/>
    <w:rsid w:val="6B5B7872"/>
    <w:rsid w:val="6BF35BA7"/>
    <w:rsid w:val="6C3259A2"/>
    <w:rsid w:val="6C786A4F"/>
    <w:rsid w:val="6C9A36A7"/>
    <w:rsid w:val="6CC006B2"/>
    <w:rsid w:val="6CCB60CF"/>
    <w:rsid w:val="6CD66EAA"/>
    <w:rsid w:val="6CDC26BF"/>
    <w:rsid w:val="6CF05018"/>
    <w:rsid w:val="6D062C4D"/>
    <w:rsid w:val="6D0E1BBB"/>
    <w:rsid w:val="6D4E1B6C"/>
    <w:rsid w:val="6D556C8B"/>
    <w:rsid w:val="6D577C94"/>
    <w:rsid w:val="6D7D76CE"/>
    <w:rsid w:val="6D8124F1"/>
    <w:rsid w:val="6D9201DC"/>
    <w:rsid w:val="6DB229AC"/>
    <w:rsid w:val="6DE94FBD"/>
    <w:rsid w:val="6DFD0704"/>
    <w:rsid w:val="6DFF44F4"/>
    <w:rsid w:val="6E294534"/>
    <w:rsid w:val="6E4E174A"/>
    <w:rsid w:val="6EA00B5A"/>
    <w:rsid w:val="6F3B7911"/>
    <w:rsid w:val="6F457FF4"/>
    <w:rsid w:val="6FB519A1"/>
    <w:rsid w:val="6FD26E3B"/>
    <w:rsid w:val="6FF42DA6"/>
    <w:rsid w:val="708F3E73"/>
    <w:rsid w:val="70B36CCA"/>
    <w:rsid w:val="70E613AA"/>
    <w:rsid w:val="71383E25"/>
    <w:rsid w:val="713D38E0"/>
    <w:rsid w:val="71445EA7"/>
    <w:rsid w:val="715042F5"/>
    <w:rsid w:val="71677C47"/>
    <w:rsid w:val="716A2286"/>
    <w:rsid w:val="717A06D3"/>
    <w:rsid w:val="71AD64B1"/>
    <w:rsid w:val="71B83AB7"/>
    <w:rsid w:val="720C3609"/>
    <w:rsid w:val="72302EF5"/>
    <w:rsid w:val="726E5FF4"/>
    <w:rsid w:val="72EE3CEF"/>
    <w:rsid w:val="73146A93"/>
    <w:rsid w:val="734A5ED2"/>
    <w:rsid w:val="7425470C"/>
    <w:rsid w:val="74381BEA"/>
    <w:rsid w:val="744761BF"/>
    <w:rsid w:val="74695854"/>
    <w:rsid w:val="74C41B99"/>
    <w:rsid w:val="7519732C"/>
    <w:rsid w:val="751C31B3"/>
    <w:rsid w:val="757F0AFB"/>
    <w:rsid w:val="75B65DA4"/>
    <w:rsid w:val="75D27F7B"/>
    <w:rsid w:val="75F971C5"/>
    <w:rsid w:val="75FA6C96"/>
    <w:rsid w:val="761D3EA2"/>
    <w:rsid w:val="76255897"/>
    <w:rsid w:val="7639683B"/>
    <w:rsid w:val="764B7EC3"/>
    <w:rsid w:val="76580BAF"/>
    <w:rsid w:val="766E7517"/>
    <w:rsid w:val="767D630F"/>
    <w:rsid w:val="768341DE"/>
    <w:rsid w:val="76963210"/>
    <w:rsid w:val="76A21BCA"/>
    <w:rsid w:val="76AB0012"/>
    <w:rsid w:val="77061D5B"/>
    <w:rsid w:val="77194D7D"/>
    <w:rsid w:val="77531A5C"/>
    <w:rsid w:val="775A725D"/>
    <w:rsid w:val="7776715E"/>
    <w:rsid w:val="77777FE7"/>
    <w:rsid w:val="77792585"/>
    <w:rsid w:val="779C1B86"/>
    <w:rsid w:val="77AA025D"/>
    <w:rsid w:val="77B21FC0"/>
    <w:rsid w:val="77D84089"/>
    <w:rsid w:val="77DB34D6"/>
    <w:rsid w:val="780C1548"/>
    <w:rsid w:val="786D76B7"/>
    <w:rsid w:val="78712932"/>
    <w:rsid w:val="78997470"/>
    <w:rsid w:val="78FF3087"/>
    <w:rsid w:val="7906009D"/>
    <w:rsid w:val="7911546C"/>
    <w:rsid w:val="79276076"/>
    <w:rsid w:val="79432AD8"/>
    <w:rsid w:val="797767D0"/>
    <w:rsid w:val="798D6D8C"/>
    <w:rsid w:val="79B46552"/>
    <w:rsid w:val="79C50DBE"/>
    <w:rsid w:val="79DA5ECB"/>
    <w:rsid w:val="7A0661AC"/>
    <w:rsid w:val="7A390147"/>
    <w:rsid w:val="7A794EC4"/>
    <w:rsid w:val="7A7C62AF"/>
    <w:rsid w:val="7A7F1A2E"/>
    <w:rsid w:val="7A935522"/>
    <w:rsid w:val="7AC50611"/>
    <w:rsid w:val="7AC51B92"/>
    <w:rsid w:val="7AC668A2"/>
    <w:rsid w:val="7AD63F05"/>
    <w:rsid w:val="7AEA1178"/>
    <w:rsid w:val="7B285454"/>
    <w:rsid w:val="7B3C2303"/>
    <w:rsid w:val="7B3C28EE"/>
    <w:rsid w:val="7B3D55F1"/>
    <w:rsid w:val="7B6F137F"/>
    <w:rsid w:val="7B731491"/>
    <w:rsid w:val="7BB50B8F"/>
    <w:rsid w:val="7BBA6990"/>
    <w:rsid w:val="7C265453"/>
    <w:rsid w:val="7C2C5935"/>
    <w:rsid w:val="7C5C66F7"/>
    <w:rsid w:val="7C887718"/>
    <w:rsid w:val="7CB06F65"/>
    <w:rsid w:val="7CBC1BC6"/>
    <w:rsid w:val="7CC00AC1"/>
    <w:rsid w:val="7CFB0D9E"/>
    <w:rsid w:val="7D167087"/>
    <w:rsid w:val="7D3F29E1"/>
    <w:rsid w:val="7D652D59"/>
    <w:rsid w:val="7D69150F"/>
    <w:rsid w:val="7D6B4770"/>
    <w:rsid w:val="7D711645"/>
    <w:rsid w:val="7D7861B6"/>
    <w:rsid w:val="7D7C754E"/>
    <w:rsid w:val="7D976F5B"/>
    <w:rsid w:val="7DDD1E9C"/>
    <w:rsid w:val="7DEE063E"/>
    <w:rsid w:val="7DFC4408"/>
    <w:rsid w:val="7E294E9D"/>
    <w:rsid w:val="7E3A33F3"/>
    <w:rsid w:val="7EAD5930"/>
    <w:rsid w:val="7EDC4C6A"/>
    <w:rsid w:val="7F2643FF"/>
    <w:rsid w:val="7F426BD0"/>
    <w:rsid w:val="7F6B0D39"/>
    <w:rsid w:val="7F7634F4"/>
    <w:rsid w:val="7F795EDA"/>
    <w:rsid w:val="7FCA68C0"/>
    <w:rsid w:val="7FDD74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Font Style137"/>
    <w:qFormat/>
    <w:uiPriority w:val="0"/>
    <w:rPr>
      <w:rFonts w:ascii="黑体" w:eastAsia="黑体" w:cs="黑体"/>
      <w:sz w:val="20"/>
      <w:szCs w:val="2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1844</Characters>
  <Lines>15</Lines>
  <Paragraphs>4</Paragraphs>
  <TotalTime>0</TotalTime>
  <ScaleCrop>false</ScaleCrop>
  <LinksUpToDate>false</LinksUpToDate>
  <CharactersWithSpaces>2163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86137</cp:lastModifiedBy>
  <cp:lastPrinted>2017-09-01T06:24:00Z</cp:lastPrinted>
  <dcterms:modified xsi:type="dcterms:W3CDTF">2021-09-28T01:23:32Z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41BF53562A164EA999CA58664813D2C8</vt:lpwstr>
  </property>
</Properties>
</file>