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544-2020-QE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宜兴市恒通塑业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张磊</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Q:ISC-Q-2020-1109,E:ISC-E-2020-0738,O:ISC-O-2020-0674</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3202825558176470</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Q:30,E:30,O:30</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宜兴市恒通塑业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Q：土工布的生产及销售</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E：土工布的生产及销售所涉及的相关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土工布的生产及销售所涉及的相关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宜兴市和桥镇福巷桥村</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宜兴市和桥镇福巷桥村</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宜兴市恒通塑业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Q:ISC-Q-2020-1109,E:ISC-E-2020-0738,O:ISC-O-2020-0674</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宜兴市和桥镇福巷桥村</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