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5"/>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829"/>
        <w:gridCol w:w="11964"/>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279"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4035"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销售部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sz w:val="24"/>
                <w:szCs w:val="24"/>
                <w:lang w:val="en-US" w:eastAsia="zh-CN"/>
              </w:rPr>
              <w:t>沈丹玲</w:t>
            </w:r>
          </w:p>
        </w:tc>
        <w:tc>
          <w:tcPr>
            <w:tcW w:w="173"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27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4035"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张磊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2021年9月10日</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27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4035" w:type="pct"/>
            <w:noWrap w:val="0"/>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sz w:val="21"/>
                <w:szCs w:val="21"/>
              </w:rPr>
              <w:t>审核条款：</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
              </w:rPr>
              <w:t>EO: 5.3 /6.2/6.1.2/8.1/8.2</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279"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4035" w:type="pct"/>
            <w:noWrap w:val="0"/>
            <w:vAlign w:val="center"/>
          </w:tcPr>
          <w:p>
            <w:pPr>
              <w:rPr>
                <w:rFonts w:hint="eastAsia" w:asciiTheme="minorEastAsia" w:hAnsiTheme="minorEastAsia" w:eastAsiaTheme="minorEastAsia" w:cstheme="minorEastAsia"/>
                <w:color w:val="auto"/>
                <w:sz w:val="21"/>
                <w:szCs w:val="21"/>
              </w:rPr>
            </w:pPr>
            <w:bookmarkStart w:id="0" w:name="_GoBack"/>
            <w:bookmarkEnd w:id="0"/>
            <w:r>
              <w:rPr>
                <w:rFonts w:hint="eastAsia" w:asciiTheme="minorEastAsia" w:hAnsiTheme="minorEastAsia" w:eastAsiaTheme="minorEastAsia" w:cstheme="minorEastAsia"/>
                <w:color w:val="auto"/>
                <w:sz w:val="21"/>
                <w:szCs w:val="21"/>
              </w:rPr>
              <w:t>主要负责：</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销售过程的控制；产品要求确定；合同评审；顾客沟通；顾客满意度调查；环境因素危险源的识别与控制、公司目标方案的执行、应急准备和响应等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279"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4035"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szCs w:val="24"/>
                    </w:rPr>
                  </w:pPr>
                  <w:r>
                    <w:rPr>
                      <w:rFonts w:hint="eastAsia" w:ascii="宋体" w:hAnsi="宋体"/>
                      <w:szCs w:val="24"/>
                    </w:rPr>
                    <w:t>环境目标</w:t>
                  </w:r>
                </w:p>
              </w:tc>
              <w:tc>
                <w:tcPr>
                  <w:tcW w:w="1820" w:type="dxa"/>
                  <w:shd w:val="clear" w:color="auto" w:fill="auto"/>
                </w:tcPr>
                <w:p>
                  <w:pPr>
                    <w:rPr>
                      <w:rFonts w:ascii="宋体" w:hAnsi="宋体"/>
                      <w:szCs w:val="24"/>
                    </w:rPr>
                  </w:pPr>
                  <w:r>
                    <w:rPr>
                      <w:rFonts w:hint="eastAsia" w:ascii="宋体" w:hAnsi="宋体"/>
                      <w:szCs w:val="24"/>
                    </w:rPr>
                    <w:t>境控制参数</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pStyle w:val="2"/>
                    <w:pBdr>
                      <w:bottom w:val="none" w:color="auto" w:sz="0" w:space="0"/>
                    </w:pBdr>
                    <w:tabs>
                      <w:tab w:val="left" w:pos="420"/>
                    </w:tabs>
                    <w:spacing w:line="360" w:lineRule="exact"/>
                    <w:jc w:val="both"/>
                    <w:rPr>
                      <w:sz w:val="21"/>
                      <w:szCs w:val="20"/>
                    </w:rPr>
                  </w:pPr>
                  <w:r>
                    <w:rPr>
                      <w:rFonts w:hint="eastAsia"/>
                      <w:sz w:val="21"/>
                      <w:szCs w:val="20"/>
                    </w:rPr>
                    <w:t xml:space="preserve">固废分类存放处置率 </w:t>
                  </w:r>
                </w:p>
              </w:tc>
              <w:tc>
                <w:tcPr>
                  <w:tcW w:w="1820" w:type="dxa"/>
                  <w:shd w:val="clear" w:color="auto" w:fill="auto"/>
                  <w:vAlign w:val="center"/>
                </w:tcPr>
                <w:p>
                  <w:r>
                    <w:rPr>
                      <w:rFonts w:hint="eastAsia"/>
                    </w:rPr>
                    <w:t>100%</w:t>
                  </w:r>
                </w:p>
              </w:tc>
              <w:tc>
                <w:tcPr>
                  <w:tcW w:w="1350" w:type="dxa"/>
                  <w:shd w:val="clear" w:color="auto" w:fill="auto"/>
                  <w:vAlign w:val="center"/>
                </w:tcPr>
                <w:p>
                  <w:r>
                    <w:rPr>
                      <w:rFonts w:hint="eastAsia"/>
                      <w:sz w:val="24"/>
                      <w:szCs w:val="24"/>
                    </w:rPr>
                    <w:t>销售部</w:t>
                  </w:r>
                </w:p>
              </w:tc>
              <w:tc>
                <w:tcPr>
                  <w:tcW w:w="1774" w:type="dxa"/>
                  <w:shd w:val="clear" w:color="auto" w:fill="auto"/>
                  <w:vAlign w:val="center"/>
                </w:tcPr>
                <w:p>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2"/>
                    <w:pBdr>
                      <w:bottom w:val="none" w:color="auto" w:sz="0" w:space="0"/>
                    </w:pBdr>
                    <w:tabs>
                      <w:tab w:val="left" w:pos="420"/>
                    </w:tabs>
                    <w:spacing w:line="360" w:lineRule="exact"/>
                    <w:jc w:val="both"/>
                    <w:rPr>
                      <w:sz w:val="21"/>
                      <w:szCs w:val="20"/>
                    </w:rPr>
                  </w:pPr>
                  <w:r>
                    <w:rPr>
                      <w:rFonts w:hint="eastAsia"/>
                      <w:sz w:val="21"/>
                      <w:szCs w:val="20"/>
                    </w:rPr>
                    <w:t>火灾、触电伤害发生次数</w:t>
                  </w:r>
                </w:p>
              </w:tc>
              <w:tc>
                <w:tcPr>
                  <w:tcW w:w="1820" w:type="dxa"/>
                  <w:shd w:val="clear" w:color="auto" w:fill="auto"/>
                  <w:vAlign w:val="center"/>
                </w:tcPr>
                <w:p>
                  <w:pPr>
                    <w:pStyle w:val="2"/>
                    <w:pBdr>
                      <w:bottom w:val="none" w:color="auto" w:sz="0" w:space="0"/>
                    </w:pBdr>
                    <w:tabs>
                      <w:tab w:val="left" w:pos="420"/>
                    </w:tabs>
                    <w:spacing w:line="360" w:lineRule="exact"/>
                    <w:jc w:val="both"/>
                    <w:rPr>
                      <w:sz w:val="21"/>
                      <w:szCs w:val="20"/>
                    </w:rPr>
                  </w:pPr>
                  <w:r>
                    <w:rPr>
                      <w:rFonts w:hint="eastAsia"/>
                      <w:sz w:val="21"/>
                      <w:szCs w:val="20"/>
                    </w:rPr>
                    <w:t>0</w:t>
                  </w:r>
                </w:p>
              </w:tc>
              <w:tc>
                <w:tcPr>
                  <w:tcW w:w="1350" w:type="dxa"/>
                  <w:shd w:val="clear" w:color="auto" w:fill="auto"/>
                </w:tcPr>
                <w:p>
                  <w:pPr>
                    <w:pBdr>
                      <w:bottom w:val="none" w:color="auto" w:sz="0" w:space="0"/>
                    </w:pBdr>
                    <w:spacing w:line="360" w:lineRule="exact"/>
                    <w:jc w:val="both"/>
                    <w:rPr>
                      <w:sz w:val="21"/>
                      <w:szCs w:val="20"/>
                    </w:rPr>
                  </w:pPr>
                  <w:r>
                    <w:rPr>
                      <w:rFonts w:hint="eastAsia"/>
                      <w:sz w:val="24"/>
                      <w:szCs w:val="24"/>
                    </w:rPr>
                    <w:t>销售部</w:t>
                  </w:r>
                </w:p>
              </w:tc>
              <w:tc>
                <w:tcPr>
                  <w:tcW w:w="1774" w:type="dxa"/>
                  <w:shd w:val="clear" w:color="auto" w:fill="auto"/>
                </w:tcPr>
                <w:p>
                  <w:pPr>
                    <w:pStyle w:val="2"/>
                    <w:pBdr>
                      <w:bottom w:val="none" w:color="auto" w:sz="0" w:space="0"/>
                    </w:pBdr>
                    <w:tabs>
                      <w:tab w:val="left" w:pos="420"/>
                    </w:tabs>
                    <w:spacing w:line="360" w:lineRule="exact"/>
                    <w:jc w:val="both"/>
                    <w:rPr>
                      <w:sz w:val="21"/>
                      <w:szCs w:val="20"/>
                    </w:rPr>
                  </w:pPr>
                  <w:r>
                    <w:rPr>
                      <w:rFonts w:hint="eastAsia"/>
                      <w:sz w:val="21"/>
                      <w:szCs w:val="20"/>
                    </w:rPr>
                    <w:t>完成</w:t>
                  </w:r>
                </w:p>
              </w:tc>
            </w:tr>
          </w:tbl>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•环境目标、指标：废弃物100%分类堆放处置</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管理方案：1.废电池用塑料袋装好，做好标识，交</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集中回收，统一处理。2.废日光灯放入专用垃圾箱，做好标识，交</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集中回收，统一处理。3.废硒鼓用塑料袋装好，做好标识，交</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集中回收，统一处理等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•安全目标、指标：火灾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w:t>
            </w:r>
            <w:r>
              <w:rPr>
                <w:rFonts w:hint="eastAsia" w:asciiTheme="minorEastAsia" w:hAnsiTheme="minorEastAsia" w:eastAsiaTheme="minorEastAsia" w:cstheme="minorEastAsia"/>
                <w:color w:val="auto"/>
                <w:sz w:val="21"/>
                <w:szCs w:val="21"/>
              </w:rPr>
              <w:t>事故发生率为0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措施：强化安全思想教育培训，认真学习安全规程；配备符合要求的安全工器具；电源电线与化学品易燃物分开.....。</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lang w:eastAsia="zh-CN"/>
              </w:rPr>
              <w:t>部</w:t>
            </w:r>
            <w:r>
              <w:rPr>
                <w:rFonts w:hint="eastAsia" w:asciiTheme="minorEastAsia" w:hAnsiTheme="minorEastAsia" w:eastAsiaTheme="minorEastAsia" w:cstheme="minorEastAsia"/>
                <w:color w:val="auto"/>
                <w:sz w:val="21"/>
                <w:szCs w:val="21"/>
              </w:rPr>
              <w:t>经查已完成。</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环境因素评价和控制措施的确定</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4035"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危险源辨识、风险评价和控制措施</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4035"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火灾、触电，评价基本准确。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pStyle w:val="8"/>
              <w:rPr>
                <w:rFonts w:hint="eastAsia" w:asciiTheme="minorEastAsia" w:hAnsiTheme="minorEastAsia" w:eastAsiaTheme="minorEastAsia" w:cstheme="minorEastAsia"/>
                <w:color w:val="auto"/>
                <w:sz w:val="21"/>
                <w:szCs w:val="21"/>
                <w:lang w:val="en-US" w:eastAsia="zh-CN"/>
              </w:rPr>
            </w:pPr>
            <w:r>
              <w:rPr>
                <w:rStyle w:val="7"/>
                <w:rFonts w:hint="eastAsia"/>
              </w:rPr>
              <w:t>采购</w:t>
            </w:r>
          </w:p>
        </w:tc>
        <w:tc>
          <w:tcPr>
            <w:tcW w:w="279" w:type="pct"/>
            <w:noWrap w:val="0"/>
            <w:vAlign w:val="center"/>
          </w:tcPr>
          <w:p>
            <w:pPr>
              <w:pStyle w:val="8"/>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O8.1.4</w:t>
            </w:r>
          </w:p>
        </w:tc>
        <w:tc>
          <w:tcPr>
            <w:tcW w:w="4035" w:type="pct"/>
            <w:noWrap w:val="0"/>
            <w:vAlign w:val="center"/>
          </w:tcPr>
          <w:p>
            <w:pPr>
              <w:rPr>
                <w:rFonts w:hint="eastAsia"/>
              </w:rPr>
            </w:pPr>
            <w:r>
              <w:rPr>
                <w:rFonts w:hint="eastAsia"/>
              </w:rPr>
              <w:t>查阅了《合格供方登记表》，抽查如下：</w:t>
            </w:r>
          </w:p>
          <w:p>
            <w:pPr>
              <w:pStyle w:val="8"/>
              <w:rPr>
                <w:rFonts w:hint="eastAsia"/>
              </w:rPr>
            </w:pPr>
            <w:r>
              <w:rPr>
                <w:rFonts w:hint="eastAsia"/>
              </w:rPr>
              <w:t>序号</w:t>
            </w:r>
            <w:r>
              <w:rPr>
                <w:rFonts w:hint="eastAsia"/>
              </w:rPr>
              <w:tab/>
            </w:r>
            <w:r>
              <w:rPr>
                <w:rFonts w:hint="eastAsia"/>
              </w:rPr>
              <w:t>供方名称</w:t>
            </w:r>
            <w:r>
              <w:rPr>
                <w:rFonts w:hint="eastAsia"/>
              </w:rPr>
              <w:tab/>
            </w:r>
            <w:r>
              <w:rPr>
                <w:rFonts w:hint="eastAsia"/>
              </w:rPr>
              <w:t xml:space="preserve">                     提供产品名称</w:t>
            </w:r>
            <w:r>
              <w:rPr>
                <w:rFonts w:hint="eastAsia"/>
              </w:rPr>
              <w:tab/>
            </w:r>
            <w:r>
              <w:rPr>
                <w:rFonts w:hint="eastAsia"/>
              </w:rPr>
              <w:t xml:space="preserve">                                          </w:t>
            </w:r>
          </w:p>
          <w:p>
            <w:pPr>
              <w:rPr>
                <w:rFonts w:hint="eastAsia"/>
              </w:rPr>
            </w:pPr>
            <w:r>
              <w:rPr>
                <w:rFonts w:hint="eastAsia"/>
              </w:rPr>
              <w:t>江阴江燕塑料有限公司</w:t>
            </w:r>
            <w:r>
              <w:rPr>
                <w:rFonts w:hint="eastAsia"/>
                <w:lang w:val="en-US" w:eastAsia="zh-CN"/>
              </w:rPr>
              <w:t xml:space="preserve">          </w:t>
            </w:r>
            <w:r>
              <w:rPr>
                <w:rFonts w:hint="eastAsia"/>
              </w:rPr>
              <w:tab/>
            </w:r>
            <w:r>
              <w:rPr>
                <w:rFonts w:hint="eastAsia"/>
              </w:rPr>
              <w:t xml:space="preserve">         </w:t>
            </w:r>
            <w:r>
              <w:rPr>
                <w:rFonts w:hint="eastAsia"/>
                <w:lang w:val="en-US" w:eastAsia="zh-CN"/>
              </w:rPr>
              <w:t xml:space="preserve">      </w:t>
            </w:r>
            <w:r>
              <w:rPr>
                <w:rFonts w:hint="eastAsia" w:ascii="仿宋_GB2312" w:eastAsia="仿宋_GB2312"/>
                <w:spacing w:val="-20"/>
                <w:szCs w:val="28"/>
              </w:rPr>
              <w:t>聚丙烯</w:t>
            </w:r>
          </w:p>
          <w:p>
            <w:pPr>
              <w:rPr>
                <w:rFonts w:hint="eastAsia"/>
              </w:rPr>
            </w:pPr>
            <w:r>
              <w:rPr>
                <w:rFonts w:hint="eastAsia" w:ascii="仿宋_GB2312" w:eastAsia="仿宋_GB2312"/>
                <w:szCs w:val="28"/>
              </w:rPr>
              <w:t>利</w:t>
            </w:r>
            <w:r>
              <w:rPr>
                <w:rFonts w:hint="eastAsia" w:ascii="Segoe UI Symbol" w:hAnsi="Segoe UI Symbol" w:eastAsiaTheme="minorEastAsia"/>
                <w:szCs w:val="28"/>
              </w:rPr>
              <w:t>辛县晖翔塑业有限公司</w:t>
            </w:r>
            <w:r>
              <w:rPr>
                <w:rFonts w:hint="eastAsia"/>
              </w:rPr>
              <w:tab/>
            </w:r>
            <w:r>
              <w:rPr>
                <w:rFonts w:hint="eastAsia"/>
              </w:rPr>
              <w:t xml:space="preserve">             </w:t>
            </w:r>
            <w:r>
              <w:rPr>
                <w:rFonts w:hint="eastAsia"/>
                <w:lang w:val="en-US" w:eastAsia="zh-CN"/>
              </w:rPr>
              <w:t xml:space="preserve">          </w:t>
            </w:r>
            <w:r>
              <w:rPr>
                <w:rFonts w:hint="eastAsia" w:ascii="仿宋_GB2312" w:eastAsia="仿宋_GB2312"/>
                <w:spacing w:val="-20"/>
                <w:szCs w:val="28"/>
              </w:rPr>
              <w:t>聚丙烯</w:t>
            </w:r>
            <w:r>
              <w:rPr>
                <w:rFonts w:hint="eastAsia"/>
              </w:rPr>
              <w:tab/>
            </w:r>
            <w:r>
              <w:rPr>
                <w:rFonts w:hint="eastAsia"/>
              </w:rPr>
              <w:t xml:space="preserve">                                                                                                                                        </w:t>
            </w:r>
          </w:p>
          <w:p>
            <w:pPr>
              <w:rPr>
                <w:rFonts w:hint="eastAsia"/>
              </w:rPr>
            </w:pPr>
            <w:r>
              <w:rPr>
                <w:rFonts w:hint="eastAsia"/>
              </w:rPr>
              <w:t>……</w:t>
            </w:r>
          </w:p>
          <w:p>
            <w:pPr>
              <w:rPr>
                <w:rFonts w:hint="eastAsia"/>
              </w:rPr>
            </w:pPr>
            <w:r>
              <w:rPr>
                <w:rFonts w:hint="eastAsia" w:asciiTheme="minorEastAsia" w:hAnsiTheme="minorEastAsia" w:eastAsiaTheme="minorEastAsia" w:cstheme="minorEastAsia"/>
                <w:color w:val="auto"/>
                <w:sz w:val="21"/>
                <w:szCs w:val="21"/>
              </w:rPr>
              <w:t>在外部提供产品、服务和过程控制程序中规定了供方选择评价和重新评价的方法和准则，通过调查供方的质量保证能力如：经营合法性、产品质量、质量保证能力、价格、交货、服务、质量管理体系等方面进行评价。</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9" w:hRule="atLeast"/>
        </w:trPr>
        <w:tc>
          <w:tcPr>
            <w:tcW w:w="51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运行控制</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8.1</w:t>
            </w:r>
          </w:p>
        </w:tc>
        <w:tc>
          <w:tcPr>
            <w:tcW w:w="4035" w:type="pct"/>
            <w:noWrap w:val="0"/>
            <w:vAlign w:val="center"/>
          </w:tcPr>
          <w:p>
            <w:pPr>
              <w:rPr>
                <w:rFonts w:hint="eastAsia"/>
                <w:lang w:val="zh-CN"/>
              </w:rPr>
            </w:pPr>
            <w:r>
              <w:rPr>
                <w:rFonts w:hint="eastAsia"/>
                <w:lang w:val="zh-CN"/>
              </w:rPr>
              <w:t>本部门执行的运行控制文件包括：运行控制程序，固体废弃物管理规定、对相关方施加影响管理规定、节能降耗管理规定、消防安全管理制度、综合部安全管理制度、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lang w:val="zh-CN"/>
              </w:rPr>
              <w:t>等</w:t>
            </w:r>
          </w:p>
          <w:p>
            <w:pPr>
              <w:rPr>
                <w:rFonts w:hint="eastAsia"/>
                <w:lang w:val="zh-CN"/>
              </w:rPr>
            </w:pPr>
            <w:r>
              <w:rPr>
                <w:rFonts w:hint="eastAsia"/>
                <w:lang w:val="zh-CN"/>
              </w:rPr>
              <w:t>运行控制情况：</w:t>
            </w:r>
          </w:p>
          <w:p>
            <w:pPr>
              <w:rPr>
                <w:rFonts w:hint="eastAsia"/>
                <w:lang w:val="zh-CN"/>
              </w:rPr>
            </w:pPr>
            <w:r>
              <w:rPr>
                <w:rFonts w:hint="eastAsia"/>
                <w:lang w:val="zh-CN"/>
              </w:rPr>
              <w:t>1、办公区域：生活污水排放至城市管网。噪声：办公现场不产生明显噪声。</w:t>
            </w:r>
          </w:p>
          <w:p>
            <w:pPr>
              <w:rPr>
                <w:rFonts w:hint="eastAsia"/>
                <w:lang w:val="zh-CN"/>
              </w:rPr>
            </w:pPr>
            <w:r>
              <w:rPr>
                <w:rFonts w:hint="eastAsia"/>
                <w:lang w:val="zh-CN"/>
              </w:rPr>
              <w:t>固废：固体废物主要是生活垃圾、办公产生废纸张废包装物等，配置了垃圾桶、可回收箱分类处置；办公用纸由综合部负责，复印、打印耗材都有综合部统一负责，集中处置。</w:t>
            </w:r>
          </w:p>
          <w:p>
            <w:pPr>
              <w:rPr>
                <w:rFonts w:hint="eastAsia"/>
                <w:lang w:val="zh-CN"/>
              </w:rPr>
            </w:pPr>
            <w:r>
              <w:rPr>
                <w:rFonts w:hint="eastAsia"/>
                <w:lang w:val="zh-CN"/>
              </w:rPr>
              <w:t>2、办公过程注意节约用电，做到人走灯灭，电脑长时间不用时关机，下班前要关闭电源，防止触电。</w:t>
            </w:r>
          </w:p>
          <w:p>
            <w:pPr>
              <w:rPr>
                <w:rFonts w:hint="eastAsia"/>
                <w:lang w:val="zh-CN"/>
              </w:rPr>
            </w:pPr>
            <w:r>
              <w:rPr>
                <w:rFonts w:hint="eastAsia"/>
                <w:lang w:val="zh-CN"/>
              </w:rPr>
              <w:t>3、办公区域禁止吸烟，查看办公区域环境整洁、宽敞、办公设备状态良好、无安全隐患。</w:t>
            </w:r>
          </w:p>
          <w:p>
            <w:pPr>
              <w:rPr>
                <w:rFonts w:hint="eastAsia"/>
                <w:lang w:val="zh-CN"/>
              </w:rPr>
            </w:pPr>
            <w:r>
              <w:rPr>
                <w:rFonts w:hint="eastAsia"/>
                <w:lang w:val="zh-CN"/>
              </w:rPr>
              <w:t>4、工作时间平均每天不超过8小时。</w:t>
            </w:r>
          </w:p>
          <w:p>
            <w:pPr>
              <w:rPr>
                <w:rFonts w:hint="eastAsia"/>
                <w:lang w:val="zh-CN"/>
              </w:rPr>
            </w:pPr>
            <w:r>
              <w:rPr>
                <w:rFonts w:hint="eastAsia"/>
                <w:lang w:val="zh-CN"/>
              </w:rPr>
              <w:t>5、查看办公区域，整洁、光线充足、室内空气良好，办公条件较好，办公设备安全状态良好，教育员工正确使用办公设备，规范用电，无乱拉线现象，防止火灾发生。</w:t>
            </w:r>
          </w:p>
          <w:p>
            <w:pPr>
              <w:rPr>
                <w:rFonts w:hint="eastAsia"/>
                <w:lang w:val="zh-CN"/>
              </w:rPr>
            </w:pPr>
            <w:r>
              <w:rPr>
                <w:rFonts w:hint="eastAsia"/>
                <w:lang w:val="zh-CN"/>
              </w:rPr>
              <w:t>7、相关方施加影响：公司能够控制或能够施加影响的相关方有顾客等。提供了“致相关方的公开信”，将公司的环境/安全控制要求发放</w:t>
            </w:r>
            <w:r>
              <w:rPr>
                <w:rFonts w:hint="eastAsia"/>
                <w:lang w:val="en-US" w:eastAsia="zh-CN"/>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asciiTheme="minorEastAsia" w:hAnsiTheme="minorEastAsia" w:eastAsiaTheme="minorEastAsia" w:cstheme="minorEastAsia"/>
                <w:color w:val="auto"/>
                <w:sz w:val="21"/>
                <w:szCs w:val="21"/>
                <w:lang w:val="zh-CN"/>
              </w:rPr>
            </w:pPr>
            <w:r>
              <w:rPr>
                <w:rFonts w:hint="eastAsia"/>
                <w:lang w:val="zh-CN"/>
              </w:rPr>
              <w:t>8、要求遵守道路交通法规，不违章驾车，驾驶证和车辆定期年审，确保行车安全。</w:t>
            </w:r>
          </w:p>
        </w:tc>
        <w:tc>
          <w:tcPr>
            <w:tcW w:w="173" w:type="pct"/>
            <w:noWrap w:val="0"/>
            <w:vAlign w:val="top"/>
          </w:tcPr>
          <w:p>
            <w:pPr>
              <w:rPr>
                <w:rFonts w:hint="eastAsia"/>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eastAsia" w:asciiTheme="minorEastAsia" w:hAnsiTheme="minorEastAsia" w:eastAsiaTheme="minorEastAsia" w:cstheme="minorEastAsia"/>
                <w:color w:val="auto"/>
                <w:sz w:val="21"/>
                <w:szCs w:val="21"/>
                <w:lang w:val="en-US" w:eastAsia="zh-CN"/>
              </w:rPr>
            </w:pPr>
          </w:p>
          <w:p>
            <w:pPr>
              <w:pStyle w:val="8"/>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应急准备和响应</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8.2</w:t>
            </w:r>
          </w:p>
        </w:tc>
        <w:tc>
          <w:tcPr>
            <w:tcW w:w="4035"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执行《</w:t>
            </w:r>
            <w:r>
              <w:rPr>
                <w:rFonts w:hint="eastAsia" w:asciiTheme="minorEastAsia" w:hAnsiTheme="minorEastAsia" w:eastAsiaTheme="minorEastAsia" w:cstheme="minorEastAsia"/>
                <w:color w:val="auto"/>
                <w:sz w:val="21"/>
                <w:szCs w:val="21"/>
                <w:lang w:val="zh-CN"/>
              </w:rPr>
              <w:t>应急准备和响应</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val="zh-CN"/>
              </w:rPr>
              <w:t>程序</w:t>
            </w:r>
            <w:r>
              <w:rPr>
                <w:rFonts w:hint="eastAsia" w:asciiTheme="minorEastAsia" w:hAnsiTheme="minorEastAsia" w:eastAsiaTheme="minorEastAsia" w:cstheme="minorEastAsia"/>
                <w:color w:val="auto"/>
                <w:sz w:val="21"/>
                <w:szCs w:val="21"/>
              </w:rPr>
              <w:t>》，参加了公司组织消防演练，相关记录详见</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相关条款。</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27C02"/>
    <w:rsid w:val="0137578E"/>
    <w:rsid w:val="023941CF"/>
    <w:rsid w:val="02743A23"/>
    <w:rsid w:val="02C91F30"/>
    <w:rsid w:val="0374320A"/>
    <w:rsid w:val="03A644B2"/>
    <w:rsid w:val="043E40D2"/>
    <w:rsid w:val="04B070D8"/>
    <w:rsid w:val="04E3379D"/>
    <w:rsid w:val="07B3748A"/>
    <w:rsid w:val="0A246BA4"/>
    <w:rsid w:val="0A2A630B"/>
    <w:rsid w:val="11010C82"/>
    <w:rsid w:val="11172982"/>
    <w:rsid w:val="11E2324D"/>
    <w:rsid w:val="137F4113"/>
    <w:rsid w:val="14241075"/>
    <w:rsid w:val="1B9A63DC"/>
    <w:rsid w:val="1F8228E2"/>
    <w:rsid w:val="1FC01D5D"/>
    <w:rsid w:val="20A339FB"/>
    <w:rsid w:val="20CD434D"/>
    <w:rsid w:val="21520FC2"/>
    <w:rsid w:val="21C60E9C"/>
    <w:rsid w:val="21E43DD9"/>
    <w:rsid w:val="22392900"/>
    <w:rsid w:val="22B920CC"/>
    <w:rsid w:val="237107AD"/>
    <w:rsid w:val="24557535"/>
    <w:rsid w:val="248832CB"/>
    <w:rsid w:val="274F297F"/>
    <w:rsid w:val="2C2800BA"/>
    <w:rsid w:val="2D6F0D20"/>
    <w:rsid w:val="2E8D4551"/>
    <w:rsid w:val="31054460"/>
    <w:rsid w:val="31861F50"/>
    <w:rsid w:val="32913106"/>
    <w:rsid w:val="331A22F8"/>
    <w:rsid w:val="358C5213"/>
    <w:rsid w:val="37521A1F"/>
    <w:rsid w:val="381E48EB"/>
    <w:rsid w:val="38B823C6"/>
    <w:rsid w:val="39771278"/>
    <w:rsid w:val="3A443BE6"/>
    <w:rsid w:val="3C385B86"/>
    <w:rsid w:val="3CAC12F4"/>
    <w:rsid w:val="3D4A734A"/>
    <w:rsid w:val="420F3B99"/>
    <w:rsid w:val="43B9620F"/>
    <w:rsid w:val="43E470B0"/>
    <w:rsid w:val="44330E23"/>
    <w:rsid w:val="44DA663A"/>
    <w:rsid w:val="4553420B"/>
    <w:rsid w:val="455543ED"/>
    <w:rsid w:val="480266EB"/>
    <w:rsid w:val="4A157E50"/>
    <w:rsid w:val="4A1901EC"/>
    <w:rsid w:val="4B0E3C2A"/>
    <w:rsid w:val="4CC33DE7"/>
    <w:rsid w:val="4D4D765F"/>
    <w:rsid w:val="4DD73AD8"/>
    <w:rsid w:val="4E585EFA"/>
    <w:rsid w:val="512508ED"/>
    <w:rsid w:val="521E7520"/>
    <w:rsid w:val="555B67E4"/>
    <w:rsid w:val="560B383E"/>
    <w:rsid w:val="573C7EB2"/>
    <w:rsid w:val="59F41F84"/>
    <w:rsid w:val="5AD13E5C"/>
    <w:rsid w:val="61DA5BB0"/>
    <w:rsid w:val="636A2C21"/>
    <w:rsid w:val="64061384"/>
    <w:rsid w:val="645F79BB"/>
    <w:rsid w:val="65600F0E"/>
    <w:rsid w:val="6812170B"/>
    <w:rsid w:val="6A3E1F05"/>
    <w:rsid w:val="6ACB16DA"/>
    <w:rsid w:val="6B604A0B"/>
    <w:rsid w:val="6BD14CEB"/>
    <w:rsid w:val="6D2F50EA"/>
    <w:rsid w:val="6D67354D"/>
    <w:rsid w:val="6E680FDE"/>
    <w:rsid w:val="6E91596D"/>
    <w:rsid w:val="6EA474CA"/>
    <w:rsid w:val="6F277D95"/>
    <w:rsid w:val="706D5F19"/>
    <w:rsid w:val="716B3AAD"/>
    <w:rsid w:val="72042FC7"/>
    <w:rsid w:val="7219025C"/>
    <w:rsid w:val="72CA5A37"/>
    <w:rsid w:val="72DD7520"/>
    <w:rsid w:val="73397B42"/>
    <w:rsid w:val="740C7F92"/>
    <w:rsid w:val="74B654A3"/>
    <w:rsid w:val="74C72D16"/>
    <w:rsid w:val="75452668"/>
    <w:rsid w:val="754E6F5E"/>
    <w:rsid w:val="79A033E7"/>
    <w:rsid w:val="7AAA00DC"/>
    <w:rsid w:val="7B8C29DF"/>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character" w:styleId="7">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6"/>
    <w:link w:val="2"/>
    <w:qFormat/>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character" w:customStyle="1" w:styleId="11">
    <w:name w:val="批注框文本 Char"/>
    <w:basedOn w:val="6"/>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2021-09-28T16:27:04Z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7F9350047DDC4EE3A98EBC4124FA20C8</vt:lpwstr>
  </property>
</Properties>
</file>