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text" w:horzAnchor="page" w:tblpX="1063" w:tblpY="620"/>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hint="eastAsia" w:ascii="宋体" w:hAnsi="宋体" w:eastAsia="宋体" w:cs="宋体"/>
                <w:sz w:val="21"/>
                <w:szCs w:val="21"/>
              </w:rPr>
            </w:pPr>
            <w:r>
              <w:rPr>
                <w:rFonts w:hint="eastAsia" w:ascii="宋体" w:hAnsi="宋体" w:eastAsia="宋体" w:cs="宋体"/>
                <w:sz w:val="21"/>
                <w:szCs w:val="21"/>
              </w:rPr>
              <w:t>过程与活动、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1311"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涉及条款</w:t>
            </w:r>
          </w:p>
        </w:tc>
        <w:tc>
          <w:tcPr>
            <w:tcW w:w="10455" w:type="dxa"/>
            <w:vAlign w:val="center"/>
          </w:tcPr>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cs="宋体"/>
                <w:sz w:val="21"/>
                <w:szCs w:val="21"/>
                <w:lang w:val="en-US" w:eastAsia="zh-CN"/>
              </w:rPr>
              <w:t xml:space="preserve">综合部 </w:t>
            </w:r>
            <w:bookmarkStart w:id="2" w:name="_GoBack"/>
            <w:bookmarkEnd w:id="2"/>
            <w:r>
              <w:rPr>
                <w:rFonts w:hint="eastAsia" w:ascii="宋体" w:hAnsi="宋体" w:eastAsia="宋体" w:cs="宋体"/>
                <w:sz w:val="21"/>
                <w:szCs w:val="21"/>
              </w:rPr>
              <w:t xml:space="preserve">    主管领导：</w:t>
            </w:r>
            <w:r>
              <w:rPr>
                <w:rFonts w:hint="eastAsia" w:ascii="宋体" w:hAnsi="宋体" w:cs="宋体"/>
                <w:sz w:val="21"/>
                <w:szCs w:val="21"/>
                <w:lang w:val="en-US" w:eastAsia="zh-CN"/>
              </w:rPr>
              <w:t>潘朦芝</w:t>
            </w:r>
            <w:r>
              <w:rPr>
                <w:rFonts w:hint="eastAsia" w:ascii="宋体" w:hAnsi="宋体" w:eastAsia="宋体" w:cs="宋体"/>
                <w:sz w:val="21"/>
                <w:szCs w:val="21"/>
              </w:rPr>
              <w:t xml:space="preserve">   陪同人员：</w:t>
            </w:r>
            <w:r>
              <w:rPr>
                <w:rFonts w:hint="eastAsia" w:ascii="宋体" w:hAnsi="宋体" w:cs="宋体"/>
                <w:sz w:val="21"/>
                <w:szCs w:val="21"/>
                <w:lang w:val="en-US" w:eastAsia="zh-CN"/>
              </w:rPr>
              <w:t>沈丹玲</w:t>
            </w:r>
          </w:p>
        </w:tc>
        <w:tc>
          <w:tcPr>
            <w:tcW w:w="1134" w:type="dxa"/>
            <w:vMerge w:val="restart"/>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hint="eastAsia" w:ascii="宋体" w:hAnsi="宋体" w:eastAsia="宋体" w:cs="宋体"/>
                <w:sz w:val="21"/>
                <w:szCs w:val="21"/>
              </w:rPr>
            </w:pPr>
          </w:p>
        </w:tc>
        <w:tc>
          <w:tcPr>
            <w:tcW w:w="1311" w:type="dxa"/>
            <w:vMerge w:val="continue"/>
            <w:vAlign w:val="center"/>
          </w:tcPr>
          <w:p>
            <w:pPr>
              <w:spacing w:line="360" w:lineRule="auto"/>
              <w:rPr>
                <w:rFonts w:hint="eastAsia" w:ascii="宋体" w:hAnsi="宋体" w:eastAsia="宋体" w:cs="宋体"/>
                <w:sz w:val="21"/>
                <w:szCs w:val="21"/>
              </w:rPr>
            </w:pPr>
          </w:p>
        </w:tc>
        <w:tc>
          <w:tcPr>
            <w:tcW w:w="10455" w:type="dxa"/>
            <w:vAlign w:val="center"/>
          </w:tcPr>
          <w:p>
            <w:pPr>
              <w:spacing w:before="120" w:line="360" w:lineRule="auto"/>
              <w:rPr>
                <w:rFonts w:hint="default"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cs="宋体"/>
                <w:sz w:val="21"/>
                <w:szCs w:val="21"/>
                <w:lang w:val="en-US" w:eastAsia="zh-CN"/>
              </w:rPr>
              <w:t>张磊</w:t>
            </w:r>
            <w:r>
              <w:rPr>
                <w:rFonts w:hint="eastAsia" w:ascii="宋体" w:hAnsi="宋体" w:eastAsia="宋体" w:cs="宋体"/>
                <w:sz w:val="21"/>
                <w:szCs w:val="21"/>
              </w:rPr>
              <w:t xml:space="preserve">        审核时间：</w:t>
            </w:r>
            <w:r>
              <w:rPr>
                <w:rFonts w:hint="eastAsia" w:ascii="宋体" w:hAnsi="宋体" w:eastAsia="宋体" w:cs="宋体"/>
                <w:sz w:val="21"/>
                <w:szCs w:val="21"/>
                <w:lang w:val="en-US" w:eastAsia="zh-CN"/>
              </w:rPr>
              <w:t>202</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9</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10</w:t>
            </w:r>
          </w:p>
        </w:tc>
        <w:tc>
          <w:tcPr>
            <w:tcW w:w="1134"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hint="eastAsia" w:ascii="宋体" w:hAnsi="宋体" w:eastAsia="宋体" w:cs="宋体"/>
                <w:sz w:val="21"/>
                <w:szCs w:val="21"/>
              </w:rPr>
            </w:pPr>
          </w:p>
        </w:tc>
        <w:tc>
          <w:tcPr>
            <w:tcW w:w="1311" w:type="dxa"/>
            <w:vMerge w:val="continue"/>
            <w:vAlign w:val="center"/>
          </w:tcPr>
          <w:p>
            <w:pPr>
              <w:spacing w:line="360" w:lineRule="auto"/>
              <w:rPr>
                <w:rFonts w:hint="eastAsia" w:ascii="宋体" w:hAnsi="宋体" w:eastAsia="宋体" w:cs="宋体"/>
                <w:sz w:val="21"/>
                <w:szCs w:val="21"/>
              </w:rPr>
            </w:pPr>
          </w:p>
        </w:tc>
        <w:tc>
          <w:tcPr>
            <w:tcW w:w="10455" w:type="dxa"/>
            <w:vAlign w:val="center"/>
          </w:tcPr>
          <w:p>
            <w:pPr>
              <w:spacing w:line="360" w:lineRule="auto"/>
              <w:rPr>
                <w:rFonts w:hint="eastAsia" w:ascii="宋体" w:hAnsi="宋体" w:eastAsia="宋体" w:cs="宋体"/>
                <w:b w:val="0"/>
                <w:bCs w:val="0"/>
                <w:sz w:val="21"/>
                <w:szCs w:val="21"/>
              </w:rPr>
            </w:pPr>
            <w:r>
              <w:rPr>
                <w:rFonts w:hint="eastAsia" w:ascii="宋体" w:hAnsi="宋体" w:eastAsia="宋体" w:cs="宋体"/>
                <w:b w:val="0"/>
                <w:bCs w:val="0"/>
                <w:sz w:val="21"/>
                <w:szCs w:val="21"/>
              </w:rPr>
              <w:t>审核条款：</w:t>
            </w:r>
          </w:p>
          <w:p>
            <w:pPr>
              <w:spacing w:line="360" w:lineRule="auto"/>
              <w:rPr>
                <w:rFonts w:hint="eastAsia" w:ascii="宋体" w:hAnsi="宋体" w:eastAsia="宋体" w:cs="宋体"/>
                <w:sz w:val="21"/>
                <w:szCs w:val="21"/>
              </w:rPr>
            </w:pPr>
            <w:r>
              <w:rPr>
                <w:rFonts w:hint="eastAsia" w:ascii="宋体" w:hAnsi="宋体" w:eastAsia="宋体" w:cs="宋体"/>
                <w:sz w:val="21"/>
                <w:szCs w:val="21"/>
              </w:rPr>
              <w:t>E/OMS</w:t>
            </w:r>
            <w:r>
              <w:rPr>
                <w:rFonts w:hint="eastAsia" w:ascii="宋体" w:hAnsi="宋体" w:eastAsia="宋体" w:cs="宋体"/>
                <w:sz w:val="21"/>
                <w:szCs w:val="21"/>
                <w:lang w:eastAsia="zh-CN"/>
              </w:rPr>
              <w:t>：</w:t>
            </w:r>
            <w:r>
              <w:rPr>
                <w:rFonts w:hint="eastAsia" w:ascii="宋体" w:hAnsi="宋体" w:eastAsia="宋体" w:cs="宋体"/>
                <w:b w:val="0"/>
                <w:bCs w:val="0"/>
                <w:i w:val="0"/>
                <w:iCs w:val="0"/>
                <w:sz w:val="21"/>
                <w:szCs w:val="21"/>
                <w:u w:val="none"/>
              </w:rPr>
              <w:t>5.3组织的角色、职责和权限</w:t>
            </w:r>
            <w:r>
              <w:rPr>
                <w:rFonts w:hint="eastAsia" w:ascii="宋体" w:hAnsi="宋体" w:eastAsia="宋体" w:cs="新宋体"/>
                <w:sz w:val="18"/>
                <w:szCs w:val="18"/>
                <w:lang w:eastAsia="zh-CN"/>
              </w:rPr>
              <w:t>、</w:t>
            </w:r>
            <w:r>
              <w:rPr>
                <w:rFonts w:hint="eastAsia" w:ascii="宋体" w:hAnsi="宋体" w:eastAsia="宋体" w:cs="新宋体"/>
                <w:sz w:val="21"/>
                <w:szCs w:val="21"/>
                <w:lang w:val="en-US" w:eastAsia="zh-CN"/>
              </w:rPr>
              <w:t>O</w:t>
            </w:r>
            <w:r>
              <w:rPr>
                <w:rFonts w:hint="eastAsia" w:ascii="宋体" w:hAnsi="宋体" w:eastAsia="宋体" w:cs="新宋体"/>
                <w:sz w:val="21"/>
                <w:szCs w:val="21"/>
              </w:rPr>
              <w:t>5.4</w:t>
            </w:r>
            <w:r>
              <w:rPr>
                <w:rFonts w:hint="eastAsia" w:ascii="宋体" w:hAnsi="宋体" w:eastAsia="宋体" w:cs="宋体"/>
                <w:b w:val="0"/>
                <w:bCs w:val="0"/>
                <w:i w:val="0"/>
                <w:iCs w:val="0"/>
                <w:sz w:val="21"/>
                <w:szCs w:val="21"/>
                <w:u w:val="none"/>
              </w:rPr>
              <w:t>员工参与和协商</w:t>
            </w:r>
            <w:r>
              <w:rPr>
                <w:rFonts w:hint="eastAsia" w:ascii="宋体" w:hAnsi="宋体" w:eastAsia="宋体" w:cs="宋体"/>
                <w:b w:val="0"/>
                <w:bCs w:val="0"/>
                <w:i w:val="0"/>
                <w:iCs w:val="0"/>
                <w:sz w:val="21"/>
                <w:szCs w:val="21"/>
                <w:u w:val="none"/>
                <w:lang w:eastAsia="zh-CN"/>
              </w:rPr>
              <w:t>、</w:t>
            </w:r>
            <w:r>
              <w:rPr>
                <w:rFonts w:hint="eastAsia" w:ascii="宋体" w:hAnsi="宋体" w:eastAsia="宋体" w:cs="宋体"/>
                <w:b w:val="0"/>
                <w:bCs w:val="0"/>
                <w:i w:val="0"/>
                <w:iCs w:val="0"/>
                <w:sz w:val="21"/>
                <w:szCs w:val="21"/>
                <w:u w:val="none"/>
              </w:rPr>
              <w:t>6</w:t>
            </w:r>
            <w:r>
              <w:rPr>
                <w:rFonts w:hint="eastAsia" w:ascii="宋体" w:hAnsi="宋体" w:eastAsia="宋体" w:cs="新宋体"/>
                <w:sz w:val="18"/>
                <w:szCs w:val="18"/>
              </w:rPr>
              <w:t>.</w:t>
            </w:r>
            <w:r>
              <w:rPr>
                <w:rFonts w:hint="eastAsia" w:ascii="宋体" w:hAnsi="宋体" w:eastAsia="宋体" w:cs="宋体"/>
                <w:b w:val="0"/>
                <w:bCs w:val="0"/>
                <w:i w:val="0"/>
                <w:iCs w:val="0"/>
                <w:sz w:val="21"/>
                <w:szCs w:val="21"/>
                <w:u w:val="none"/>
              </w:rPr>
              <w:t>1.2环境因素/危险源的辨识与评价、6.1.3合规义务、</w:t>
            </w:r>
            <w:r>
              <w:rPr>
                <w:rFonts w:hint="eastAsia" w:ascii="宋体" w:hAnsi="宋体" w:cs="宋体"/>
                <w:b w:val="0"/>
                <w:bCs w:val="0"/>
                <w:i w:val="0"/>
                <w:iCs w:val="0"/>
                <w:sz w:val="21"/>
                <w:szCs w:val="21"/>
                <w:u w:val="none"/>
                <w:lang w:val="en-US" w:eastAsia="zh-CN"/>
              </w:rPr>
              <w:t>6</w:t>
            </w:r>
            <w:r>
              <w:rPr>
                <w:rFonts w:hint="eastAsia" w:ascii="宋体" w:hAnsi="宋体" w:eastAsia="宋体" w:cs="宋体"/>
                <w:b w:val="0"/>
                <w:bCs w:val="0"/>
                <w:i w:val="0"/>
                <w:iCs w:val="0"/>
                <w:sz w:val="21"/>
                <w:szCs w:val="21"/>
                <w:u w:val="none"/>
                <w:lang w:val="en-US" w:eastAsia="zh-CN"/>
              </w:rPr>
              <w:t>.2</w:t>
            </w:r>
            <w:r>
              <w:rPr>
                <w:rFonts w:hint="eastAsia" w:ascii="宋体" w:hAnsi="宋体" w:eastAsia="宋体" w:cs="宋体"/>
                <w:b w:val="0"/>
                <w:bCs w:val="0"/>
                <w:i w:val="0"/>
                <w:iCs w:val="0"/>
                <w:sz w:val="21"/>
                <w:szCs w:val="21"/>
                <w:u w:val="none"/>
              </w:rPr>
              <w:t>目标及其达成的策划</w:t>
            </w:r>
            <w:r>
              <w:rPr>
                <w:rFonts w:hint="eastAsia" w:ascii="宋体" w:hAnsi="宋体" w:eastAsia="宋体" w:cs="宋体"/>
                <w:b w:val="0"/>
                <w:bCs w:val="0"/>
                <w:i w:val="0"/>
                <w:iCs w:val="0"/>
                <w:sz w:val="21"/>
                <w:szCs w:val="21"/>
                <w:u w:val="none"/>
                <w:lang w:eastAsia="zh-CN"/>
              </w:rPr>
              <w:t>、</w:t>
            </w:r>
            <w:r>
              <w:rPr>
                <w:rFonts w:hint="eastAsia" w:ascii="宋体" w:hAnsi="宋体" w:eastAsia="宋体" w:cs="宋体"/>
                <w:b w:val="0"/>
                <w:bCs w:val="0"/>
                <w:i w:val="0"/>
                <w:iCs w:val="0"/>
                <w:sz w:val="21"/>
                <w:szCs w:val="21"/>
                <w:u w:val="none"/>
              </w:rPr>
              <w:t>7.2能力；7.3意识；7.4信息和沟通；7.5文件化信息</w:t>
            </w:r>
            <w:r>
              <w:rPr>
                <w:rFonts w:hint="eastAsia" w:ascii="宋体" w:hAnsi="宋体" w:eastAsia="宋体" w:cs="宋体"/>
                <w:b w:val="0"/>
                <w:bCs w:val="0"/>
                <w:i w:val="0"/>
                <w:iCs w:val="0"/>
                <w:sz w:val="21"/>
                <w:szCs w:val="21"/>
                <w:u w:val="none"/>
                <w:lang w:eastAsia="zh-CN"/>
              </w:rPr>
              <w:t>、</w:t>
            </w:r>
            <w:r>
              <w:rPr>
                <w:rFonts w:hint="eastAsia" w:ascii="宋体" w:hAnsi="宋体" w:eastAsia="宋体" w:cs="宋体"/>
                <w:b w:val="0"/>
                <w:bCs w:val="0"/>
                <w:i w:val="0"/>
                <w:iCs w:val="0"/>
                <w:sz w:val="21"/>
                <w:szCs w:val="21"/>
                <w:u w:val="none"/>
              </w:rPr>
              <w:t>8.1运行策划和控制、8.2应急准备和响应</w:t>
            </w:r>
            <w:r>
              <w:rPr>
                <w:rFonts w:hint="eastAsia" w:ascii="宋体" w:hAnsi="宋体" w:eastAsia="宋体" w:cs="宋体"/>
                <w:b w:val="0"/>
                <w:bCs w:val="0"/>
                <w:sz w:val="21"/>
                <w:szCs w:val="21"/>
              </w:rPr>
              <w:t>,9.1.2</w:t>
            </w:r>
            <w:r>
              <w:rPr>
                <w:rFonts w:hint="eastAsia" w:ascii="宋体" w:hAnsi="宋体" w:eastAsia="宋体" w:cs="宋体"/>
                <w:b w:val="0"/>
                <w:bCs w:val="0"/>
                <w:sz w:val="21"/>
                <w:szCs w:val="21"/>
                <w:lang w:val="en-US" w:eastAsia="zh-CN"/>
              </w:rPr>
              <w:t>合规性评价</w:t>
            </w:r>
            <w:r>
              <w:rPr>
                <w:rFonts w:hint="eastAsia" w:ascii="宋体" w:hAnsi="宋体" w:eastAsia="宋体" w:cs="宋体"/>
                <w:b w:val="0"/>
                <w:bCs w:val="0"/>
                <w:sz w:val="21"/>
                <w:szCs w:val="21"/>
              </w:rPr>
              <w:t>；9.2内部审核</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10.2不符合和纠正措施；</w:t>
            </w:r>
          </w:p>
        </w:tc>
        <w:tc>
          <w:tcPr>
            <w:tcW w:w="1134"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b w:val="0"/>
                <w:bCs w:val="0"/>
                <w:i w:val="0"/>
                <w:iCs w:val="0"/>
                <w:sz w:val="21"/>
                <w:szCs w:val="21"/>
                <w:u w:val="none"/>
              </w:rPr>
              <w:t>组织的角色、职责和权限</w:t>
            </w:r>
          </w:p>
        </w:tc>
        <w:tc>
          <w:tcPr>
            <w:tcW w:w="1311" w:type="dxa"/>
            <w:vAlign w:val="center"/>
          </w:tcPr>
          <w:p>
            <w:pPr>
              <w:spacing w:line="360" w:lineRule="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EO5.3</w:t>
            </w:r>
          </w:p>
        </w:tc>
        <w:tc>
          <w:tcPr>
            <w:tcW w:w="10455" w:type="dxa"/>
            <w:vAlign w:val="center"/>
          </w:tcPr>
          <w:p>
            <w:pPr>
              <w:snapToGrid w:val="0"/>
              <w:spacing w:line="360" w:lineRule="auto"/>
              <w:rPr>
                <w:rFonts w:ascii="宋体" w:hAnsi="宋体" w:cs="新宋体"/>
                <w:szCs w:val="21"/>
              </w:rPr>
            </w:pPr>
            <w:r>
              <w:rPr>
                <w:rFonts w:hint="eastAsia" w:ascii="宋体" w:hAnsi="宋体" w:cs="新宋体"/>
                <w:szCs w:val="21"/>
              </w:rPr>
              <w:t>询问主要职责：</w:t>
            </w:r>
          </w:p>
          <w:p>
            <w:pPr>
              <w:snapToGrid w:val="0"/>
              <w:spacing w:line="360" w:lineRule="auto"/>
              <w:rPr>
                <w:rFonts w:ascii="宋体" w:hAnsi="宋体" w:cs="新宋体"/>
                <w:szCs w:val="21"/>
              </w:rPr>
            </w:pPr>
            <w:r>
              <w:rPr>
                <w:rFonts w:hint="eastAsia" w:ascii="宋体" w:hAnsi="宋体" w:cs="新宋体"/>
                <w:szCs w:val="21"/>
              </w:rPr>
              <w:t>a. 贯彻落实GB/T24001-2015标准、GB/T45001-2020标准，作好环境、职业安全健康管理体系的具体策划和组织管理工作；负责组织质量、环境和职业健康安全管理体系的内部审核；组织检查质量、环境、职业安全健康管理体系过程的运行情况。</w:t>
            </w:r>
          </w:p>
          <w:p>
            <w:pPr>
              <w:snapToGrid w:val="0"/>
              <w:spacing w:line="360" w:lineRule="auto"/>
              <w:rPr>
                <w:rFonts w:ascii="宋体" w:hAnsi="宋体" w:cs="新宋体"/>
                <w:szCs w:val="21"/>
              </w:rPr>
            </w:pPr>
            <w:r>
              <w:rPr>
                <w:rFonts w:hint="eastAsia" w:ascii="宋体" w:hAnsi="宋体" w:cs="新宋体"/>
                <w:szCs w:val="21"/>
              </w:rPr>
              <w:t>b.文件发放、回收的管理；</w:t>
            </w:r>
          </w:p>
          <w:p>
            <w:pPr>
              <w:snapToGrid w:val="0"/>
              <w:spacing w:line="360" w:lineRule="auto"/>
              <w:rPr>
                <w:rFonts w:ascii="宋体" w:hAnsi="宋体" w:cs="新宋体"/>
                <w:szCs w:val="21"/>
              </w:rPr>
            </w:pPr>
            <w:r>
              <w:rPr>
                <w:rFonts w:hint="eastAsia" w:ascii="宋体" w:hAnsi="宋体" w:cs="新宋体"/>
                <w:szCs w:val="21"/>
              </w:rPr>
              <w:t>c.负责人员的选择，并根据各部门的需求进行安排，编制相应的岗位工作入职要求；</w:t>
            </w:r>
          </w:p>
          <w:p>
            <w:pPr>
              <w:snapToGrid w:val="0"/>
              <w:spacing w:line="360" w:lineRule="auto"/>
              <w:rPr>
                <w:rFonts w:ascii="宋体" w:hAnsi="宋体" w:cs="新宋体"/>
                <w:szCs w:val="21"/>
              </w:rPr>
            </w:pPr>
            <w:r>
              <w:rPr>
                <w:rFonts w:hint="eastAsia" w:ascii="宋体" w:hAnsi="宋体" w:cs="新宋体"/>
                <w:szCs w:val="21"/>
              </w:rPr>
              <w:t>d.组织对各类人员进行有针对性的培训、考核及评价工作，不断提高环境、职业安全健康意识素质和技能；</w:t>
            </w:r>
          </w:p>
          <w:p>
            <w:pPr>
              <w:snapToGrid w:val="0"/>
              <w:spacing w:line="360" w:lineRule="auto"/>
              <w:rPr>
                <w:rFonts w:ascii="宋体" w:hAnsi="宋体" w:cs="新宋体"/>
                <w:szCs w:val="21"/>
              </w:rPr>
            </w:pPr>
            <w:r>
              <w:rPr>
                <w:rFonts w:hint="eastAsia" w:ascii="宋体" w:hAnsi="宋体" w:cs="新宋体"/>
                <w:szCs w:val="21"/>
              </w:rPr>
              <w:t>e.负责法律、法规及其他要求的获取及识别其适用性，并负责法律、法规及其他要求的发放；</w:t>
            </w:r>
          </w:p>
          <w:p>
            <w:pPr>
              <w:snapToGrid w:val="0"/>
              <w:spacing w:line="360" w:lineRule="auto"/>
              <w:rPr>
                <w:rFonts w:ascii="宋体" w:hAnsi="宋体" w:cs="新宋体"/>
                <w:szCs w:val="21"/>
              </w:rPr>
            </w:pPr>
            <w:r>
              <w:rPr>
                <w:rFonts w:hint="eastAsia" w:ascii="宋体" w:hAnsi="宋体" w:cs="新宋体"/>
                <w:szCs w:val="21"/>
              </w:rPr>
              <w:t xml:space="preserve"> f.负责组织公司环境因素、危险源的识别和评价，并确定重要环境因素、危险源，报管理者代表审批。</w:t>
            </w:r>
          </w:p>
          <w:p>
            <w:pPr>
              <w:snapToGrid w:val="0"/>
              <w:spacing w:line="360" w:lineRule="auto"/>
              <w:rPr>
                <w:rFonts w:ascii="宋体" w:hAnsi="宋体" w:cs="新宋体"/>
                <w:szCs w:val="21"/>
              </w:rPr>
            </w:pPr>
            <w:r>
              <w:rPr>
                <w:rFonts w:hint="eastAsia" w:ascii="宋体" w:hAnsi="宋体" w:cs="新宋体"/>
                <w:szCs w:val="21"/>
              </w:rPr>
              <w:t xml:space="preserve"> g.负责监督检查工作场所的工作环境情况；</w:t>
            </w:r>
          </w:p>
          <w:p>
            <w:pPr>
              <w:snapToGrid w:val="0"/>
              <w:spacing w:line="360" w:lineRule="auto"/>
              <w:rPr>
                <w:rFonts w:ascii="宋体" w:hAnsi="宋体" w:cs="新宋体"/>
                <w:szCs w:val="21"/>
              </w:rPr>
            </w:pPr>
            <w:r>
              <w:rPr>
                <w:rFonts w:hint="eastAsia" w:ascii="宋体" w:hAnsi="宋体" w:cs="新宋体"/>
                <w:szCs w:val="21"/>
              </w:rPr>
              <w:t xml:space="preserve"> h.负责公司范围内的应急准备和相应计划的制定及可行性的应急演练。</w:t>
            </w:r>
          </w:p>
          <w:p>
            <w:pPr>
              <w:snapToGrid w:val="0"/>
              <w:spacing w:line="360" w:lineRule="auto"/>
              <w:rPr>
                <w:rFonts w:ascii="宋体" w:hAnsi="宋体" w:cs="新宋体"/>
                <w:szCs w:val="21"/>
              </w:rPr>
            </w:pPr>
            <w:r>
              <w:rPr>
                <w:rFonts w:hint="eastAsia" w:ascii="宋体" w:hAnsi="宋体" w:cs="新宋体"/>
                <w:szCs w:val="21"/>
              </w:rPr>
              <w:t xml:space="preserve"> j.负责监督检查公司各职能部门有关层次上的管理目标的分解、实施及管理方案的制定、检查与实施。</w:t>
            </w:r>
          </w:p>
          <w:p>
            <w:pPr>
              <w:snapToGrid w:val="0"/>
              <w:spacing w:line="360" w:lineRule="auto"/>
              <w:rPr>
                <w:rFonts w:ascii="宋体" w:hAnsi="宋体" w:cs="新宋体"/>
                <w:szCs w:val="21"/>
              </w:rPr>
            </w:pPr>
            <w:r>
              <w:rPr>
                <w:rFonts w:hint="eastAsia" w:ascii="宋体" w:hAnsi="宋体" w:cs="新宋体"/>
                <w:szCs w:val="21"/>
              </w:rPr>
              <w:t xml:space="preserve"> k.负责收集、整理和保管本部门的质量记录以及相关数据收集、传递和交流；</w:t>
            </w:r>
          </w:p>
          <w:p>
            <w:pPr>
              <w:snapToGrid w:val="0"/>
              <w:spacing w:line="360" w:lineRule="auto"/>
              <w:rPr>
                <w:rFonts w:ascii="宋体" w:hAnsi="宋体" w:cs="新宋体"/>
                <w:szCs w:val="21"/>
              </w:rPr>
            </w:pPr>
            <w:r>
              <w:rPr>
                <w:rFonts w:hint="eastAsia" w:ascii="宋体" w:hAnsi="宋体" w:cs="新宋体"/>
                <w:szCs w:val="21"/>
              </w:rPr>
              <w:t xml:space="preserve"> l.负责对环境、安全健康方面的不符合进行纠正和预防措施的跟踪、验证工作；</w:t>
            </w:r>
          </w:p>
          <w:p>
            <w:pPr>
              <w:snapToGrid w:val="0"/>
              <w:spacing w:line="360" w:lineRule="auto"/>
              <w:rPr>
                <w:rFonts w:ascii="宋体" w:hAnsi="宋体" w:cs="新宋体"/>
                <w:szCs w:val="21"/>
              </w:rPr>
            </w:pPr>
            <w:r>
              <w:rPr>
                <w:rFonts w:hint="eastAsia" w:ascii="宋体" w:hAnsi="宋体" w:cs="新宋体"/>
                <w:szCs w:val="21"/>
              </w:rPr>
              <w:t xml:space="preserve"> m.收集、整理和保管本部门的质量记录、对相关的数据收集传递和交流；</w:t>
            </w:r>
          </w:p>
          <w:p>
            <w:pPr>
              <w:snapToGrid w:val="0"/>
              <w:spacing w:line="360" w:lineRule="auto"/>
              <w:rPr>
                <w:rFonts w:ascii="宋体" w:hAnsi="宋体" w:cs="新宋体"/>
                <w:szCs w:val="21"/>
              </w:rPr>
            </w:pPr>
            <w:r>
              <w:rPr>
                <w:rFonts w:hint="eastAsia" w:ascii="宋体" w:hAnsi="宋体" w:cs="新宋体"/>
                <w:szCs w:val="21"/>
              </w:rPr>
              <w:t xml:space="preserve"> n.公司固定资产（基础设施）账务管理；</w:t>
            </w:r>
          </w:p>
          <w:p>
            <w:pPr>
              <w:snapToGrid w:val="0"/>
              <w:spacing w:line="360" w:lineRule="auto"/>
              <w:rPr>
                <w:rFonts w:ascii="宋体" w:hAnsi="宋体" w:cs="新宋体"/>
                <w:szCs w:val="21"/>
              </w:rPr>
            </w:pPr>
            <w:r>
              <w:rPr>
                <w:rFonts w:hint="eastAsia" w:ascii="宋体" w:hAnsi="宋体" w:cs="新宋体"/>
                <w:szCs w:val="21"/>
              </w:rPr>
              <w:t xml:space="preserve"> o.参与环境、职业健康安全管理方案中的经济、技术、成本分析活动；</w:t>
            </w:r>
          </w:p>
          <w:p>
            <w:pPr>
              <w:snapToGrid w:val="0"/>
              <w:spacing w:line="360" w:lineRule="auto"/>
              <w:rPr>
                <w:rFonts w:ascii="宋体" w:hAnsi="宋体" w:cs="新宋体"/>
                <w:szCs w:val="21"/>
              </w:rPr>
            </w:pPr>
            <w:r>
              <w:rPr>
                <w:rFonts w:hint="eastAsia" w:ascii="宋体" w:hAnsi="宋体" w:cs="新宋体"/>
                <w:szCs w:val="21"/>
              </w:rPr>
              <w:t xml:space="preserve"> p.为建立、实施并持续改进管理体系提供资金支持。</w:t>
            </w:r>
          </w:p>
          <w:p>
            <w:pPr>
              <w:spacing w:line="360" w:lineRule="auto"/>
              <w:ind w:firstLine="420" w:firstLineChars="200"/>
              <w:rPr>
                <w:rFonts w:hint="eastAsia" w:ascii="宋体" w:hAnsi="宋体" w:eastAsia="宋体" w:cs="宋体"/>
                <w:sz w:val="21"/>
                <w:szCs w:val="21"/>
              </w:rPr>
            </w:pPr>
            <w:r>
              <w:rPr>
                <w:rFonts w:hint="eastAsia" w:ascii="宋体" w:hAnsi="宋体" w:cs="新宋体"/>
                <w:szCs w:val="21"/>
              </w:rPr>
              <w:t>部门职责清晰、明确。</w:t>
            </w:r>
            <w:r>
              <w:rPr>
                <w:rFonts w:hint="eastAsia" w:ascii="宋体" w:hAnsi="宋体" w:cs="新宋体"/>
                <w:szCs w:val="21"/>
                <w:lang w:eastAsia="zh-CN"/>
              </w:rPr>
              <w:t>综合部</w:t>
            </w:r>
            <w:r>
              <w:rPr>
                <w:rFonts w:hint="eastAsia" w:ascii="宋体" w:hAnsi="宋体" w:cs="新宋体"/>
                <w:szCs w:val="21"/>
              </w:rPr>
              <w:t>负责人能基本阐述本部门的主要职责。</w:t>
            </w:r>
          </w:p>
        </w:tc>
        <w:tc>
          <w:tcPr>
            <w:tcW w:w="1134" w:type="dxa"/>
          </w:tcPr>
          <w:p>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环境因素识别、危险源辨识、风险评价和控制措施的确定</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6.1.2</w:t>
            </w:r>
          </w:p>
          <w:p>
            <w:pPr>
              <w:spacing w:line="360" w:lineRule="auto"/>
              <w:rPr>
                <w:rFonts w:hint="eastAsia" w:ascii="宋体" w:hAnsi="宋体" w:eastAsia="宋体" w:cs="宋体"/>
                <w:kern w:val="2"/>
                <w:sz w:val="21"/>
                <w:szCs w:val="21"/>
                <w:lang w:val="en-US" w:eastAsia="zh-CN" w:bidi="ar-SA"/>
              </w:rPr>
            </w:pPr>
          </w:p>
        </w:tc>
        <w:tc>
          <w:tcPr>
            <w:tcW w:w="10455"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cs="宋体"/>
                <w:bCs/>
                <w:sz w:val="21"/>
                <w:szCs w:val="21"/>
                <w:lang w:eastAsia="zh-CN"/>
              </w:rPr>
              <w:t>综合部</w:t>
            </w:r>
            <w:r>
              <w:rPr>
                <w:rFonts w:hint="eastAsia" w:ascii="宋体" w:hAnsi="宋体" w:eastAsia="宋体" w:cs="宋体"/>
                <w:bCs/>
                <w:sz w:val="21"/>
                <w:szCs w:val="21"/>
              </w:rPr>
              <w:t>作为公司环境和</w:t>
            </w:r>
            <w:r>
              <w:rPr>
                <w:rFonts w:hint="eastAsia" w:ascii="宋体" w:hAnsi="宋体" w:eastAsia="宋体" w:cs="宋体"/>
                <w:sz w:val="21"/>
                <w:szCs w:val="21"/>
              </w:rPr>
              <w:t>职业健康安全管理</w:t>
            </w:r>
            <w:r>
              <w:rPr>
                <w:rFonts w:hint="eastAsia" w:ascii="宋体" w:hAnsi="宋体" w:eastAsia="宋体" w:cs="宋体"/>
                <w:bCs/>
                <w:sz w:val="21"/>
                <w:szCs w:val="21"/>
              </w:rPr>
              <w:t>体系的推进部门，主要负责识别</w:t>
            </w:r>
            <w:r>
              <w:rPr>
                <w:rFonts w:hint="eastAsia" w:ascii="宋体" w:hAnsi="宋体" w:eastAsia="宋体" w:cs="宋体"/>
                <w:sz w:val="21"/>
                <w:szCs w:val="21"/>
              </w:rPr>
              <w:t>评价相关的环境因素和危险源，查有：《环境因素识别与评价控制程序》、《危险源辩识风险评价控制程序》。</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询问识别：根据各部门识别及各生产、办公、供应、销售、质检、仓库过程环节识别，由</w:t>
            </w:r>
            <w:r>
              <w:rPr>
                <w:rFonts w:hint="eastAsia" w:ascii="宋体" w:hAnsi="宋体" w:cs="宋体"/>
                <w:sz w:val="21"/>
                <w:szCs w:val="21"/>
                <w:lang w:eastAsia="zh-CN"/>
              </w:rPr>
              <w:t>综合部</w:t>
            </w:r>
            <w:r>
              <w:rPr>
                <w:rFonts w:hint="eastAsia" w:ascii="宋体" w:hAnsi="宋体" w:eastAsia="宋体" w:cs="宋体"/>
                <w:sz w:val="21"/>
                <w:szCs w:val="21"/>
              </w:rPr>
              <w:t>汇总。</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查到《环境因素识别评价表》，识别考虑了正常、异常、紧急，过去、现在、未来三种时态，考虑了供方、客户等可施加影响的环境因素，能考虑到产品生命周期观点。</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识别情况如下： </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抽 1）水： 公司生产废水外排，生活废水</w:t>
            </w:r>
            <w:r>
              <w:rPr>
                <w:rFonts w:hint="eastAsia" w:ascii="宋体" w:hAnsi="宋体" w:eastAsia="宋体" w:cs="宋体"/>
                <w:color w:val="000000"/>
                <w:sz w:val="21"/>
                <w:szCs w:val="21"/>
                <w:lang w:val="en-US" w:eastAsia="zh-CN"/>
              </w:rPr>
              <w:t>排</w:t>
            </w:r>
            <w:r>
              <w:rPr>
                <w:rFonts w:hint="eastAsia" w:ascii="宋体" w:hAnsi="宋体" w:eastAsia="宋体" w:cs="宋体"/>
                <w:color w:val="000000"/>
                <w:sz w:val="21"/>
                <w:szCs w:val="21"/>
              </w:rPr>
              <w:t>；</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2）噪声：设备运行的噪声排放等； </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w:t>
            </w:r>
            <w:r>
              <w:rPr>
                <w:rFonts w:hint="eastAsia"/>
                <w:lang w:val="en-US" w:eastAsia="zh-CN"/>
              </w:rPr>
              <w:t>粉尘</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cs="宋体"/>
                <w:color w:val="000000"/>
                <w:sz w:val="21"/>
                <w:szCs w:val="21"/>
                <w:lang w:val="en-US" w:eastAsia="zh-CN"/>
              </w:rPr>
              <w:t>主要</w:t>
            </w:r>
            <w:r>
              <w:rPr>
                <w:rFonts w:hint="eastAsia" w:ascii="宋体" w:hAnsi="宋体" w:eastAsia="宋体" w:cs="宋体"/>
                <w:color w:val="000000"/>
                <w:sz w:val="21"/>
                <w:szCs w:val="21"/>
                <w:lang w:val="en-US" w:eastAsia="zh-CN"/>
              </w:rPr>
              <w:t>为</w:t>
            </w:r>
            <w:r>
              <w:rPr>
                <w:rFonts w:hint="eastAsia" w:ascii="宋体" w:hAnsi="宋体" w:eastAsia="宋体" w:cs="宋体"/>
                <w:color w:val="000000"/>
                <w:sz w:val="21"/>
                <w:szCs w:val="21"/>
              </w:rPr>
              <w:t>聚丙烯颗粒加热熔融</w:t>
            </w:r>
            <w:r>
              <w:rPr>
                <w:rFonts w:hint="eastAsia" w:ascii="宋体" w:hAnsi="宋体" w:eastAsia="宋体" w:cs="宋体"/>
                <w:color w:val="000000"/>
                <w:sz w:val="21"/>
                <w:szCs w:val="21"/>
                <w:lang w:val="en-US" w:eastAsia="zh-CN"/>
              </w:rPr>
              <w:t>过程</w:t>
            </w:r>
            <w:r>
              <w:rPr>
                <w:rFonts w:hint="eastAsia" w:ascii="宋体" w:hAnsi="宋体" w:eastAsia="宋体" w:cs="宋体"/>
                <w:color w:val="000000"/>
                <w:sz w:val="21"/>
                <w:szCs w:val="21"/>
              </w:rPr>
              <w:t>；</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4）废渣：生活垃圾弃置、生产过程中产生的边角料及不合格产品的排放、设备维修废件弃置、办公碳粉盒废弃等；</w:t>
            </w:r>
          </w:p>
          <w:p>
            <w:pPr>
              <w:tabs>
                <w:tab w:val="left" w:pos="6597"/>
              </w:tabs>
              <w:spacing w:line="360" w:lineRule="auto"/>
              <w:ind w:firstLine="405"/>
              <w:rPr>
                <w:rFonts w:hint="eastAsia" w:ascii="宋体" w:hAnsi="宋体" w:eastAsia="宋体" w:cs="宋体"/>
                <w:color w:val="000000"/>
                <w:sz w:val="21"/>
                <w:szCs w:val="21"/>
              </w:rPr>
            </w:pPr>
            <w:r>
              <w:rPr>
                <w:rFonts w:hint="eastAsia" w:ascii="宋体" w:hAnsi="宋体" w:eastAsia="宋体" w:cs="宋体"/>
                <w:color w:val="000000"/>
                <w:sz w:val="21"/>
                <w:szCs w:val="21"/>
              </w:rPr>
              <w:t>5）（紧急、意外、异常）情况：</w:t>
            </w:r>
          </w:p>
          <w:p>
            <w:pPr>
              <w:tabs>
                <w:tab w:val="left" w:pos="6597"/>
              </w:tabs>
              <w:spacing w:line="360" w:lineRule="auto"/>
              <w:ind w:firstLine="405"/>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潜在火灾发生等。</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以上环境因素的识别按照过去、现在和将来三种时态，正常、异常和紧急三种状态进行了识别；并按照多因子评价法对环境因素进行了评价。</w:t>
            </w:r>
          </w:p>
          <w:p>
            <w:pPr>
              <w:snapToGrid w:val="0"/>
              <w:spacing w:line="360" w:lineRule="auto"/>
              <w:rPr>
                <w:rFonts w:hint="eastAsia" w:ascii="宋体" w:hAnsi="宋体" w:eastAsia="宋体" w:cs="宋体"/>
                <w:sz w:val="21"/>
                <w:szCs w:val="21"/>
                <w:lang w:eastAsia="zh-CN"/>
              </w:rPr>
            </w:pPr>
            <w:r>
              <w:rPr>
                <w:rFonts w:hint="eastAsia" w:ascii="宋体" w:hAnsi="宋体" w:eastAsia="宋体" w:cs="宋体"/>
                <w:color w:val="000000"/>
                <w:sz w:val="21"/>
                <w:szCs w:val="21"/>
              </w:rPr>
              <w:t xml:space="preserve">   提供了《重要环境因素清单》，</w:t>
            </w:r>
            <w:r>
              <w:rPr>
                <w:rFonts w:hint="eastAsia" w:ascii="宋体" w:hAnsi="宋体" w:eastAsia="宋体" w:cs="宋体"/>
                <w:sz w:val="21"/>
                <w:szCs w:val="21"/>
              </w:rPr>
              <w:t>涉及本部门的环境因素有办公活动中生活垃圾排放、纸张等办公废品排放、墨盒、废旧电池等废品、火灾事故发生等。</w:t>
            </w:r>
            <w:r>
              <w:rPr>
                <w:rFonts w:hint="eastAsia" w:ascii="宋体" w:hAnsi="宋体" w:eastAsia="宋体" w:cs="宋体"/>
                <w:sz w:val="21"/>
                <w:szCs w:val="21"/>
                <w:lang w:eastAsia="zh-CN"/>
              </w:rPr>
              <w:drawing>
                <wp:inline distT="0" distB="0" distL="114300" distR="114300">
                  <wp:extent cx="6501130" cy="2683510"/>
                  <wp:effectExtent l="0" t="0" r="1270" b="8890"/>
                  <wp:docPr id="2" name="图片 2" descr="微信图片_202109132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913215926"/>
                          <pic:cNvPicPr>
                            <a:picLocks noChangeAspect="1"/>
                          </pic:cNvPicPr>
                        </pic:nvPicPr>
                        <pic:blipFill>
                          <a:blip r:embed="rId6"/>
                          <a:stretch>
                            <a:fillRect/>
                          </a:stretch>
                        </pic:blipFill>
                        <pic:spPr>
                          <a:xfrm>
                            <a:off x="0" y="0"/>
                            <a:ext cx="6501130" cy="2683510"/>
                          </a:xfrm>
                          <a:prstGeom prst="rect">
                            <a:avLst/>
                          </a:prstGeom>
                        </pic:spPr>
                      </pic:pic>
                    </a:graphicData>
                  </a:graphic>
                </wp:inline>
              </w:drawing>
            </w:r>
          </w:p>
          <w:p>
            <w:pPr>
              <w:spacing w:line="360" w:lineRule="auto"/>
              <w:ind w:firstLine="420" w:firstLineChars="200"/>
              <w:rPr>
                <w:rFonts w:hint="eastAsia" w:ascii="宋体" w:hAnsi="宋体" w:eastAsia="宋体" w:cs="宋体"/>
                <w:sz w:val="21"/>
                <w:szCs w:val="21"/>
              </w:rPr>
            </w:pPr>
            <w:r>
              <w:rPr>
                <w:rFonts w:hint="eastAsia" w:ascii="宋体" w:hAnsi="宋体" w:cs="宋体"/>
                <w:sz w:val="21"/>
                <w:szCs w:val="21"/>
                <w:lang w:eastAsia="zh-CN"/>
              </w:rPr>
              <w:t>综合部</w:t>
            </w:r>
            <w:r>
              <w:rPr>
                <w:rFonts w:hint="eastAsia" w:ascii="宋体" w:hAnsi="宋体" w:eastAsia="宋体" w:cs="宋体"/>
                <w:sz w:val="21"/>
                <w:szCs w:val="21"/>
              </w:rPr>
              <w:t>的重要环境因素为日常办公过程中固废的排放、火灾事故的发生等。</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控制措施主要有：固废分类存放、办公危废交耗材供应单位、定期监测、日常培训、消防配备消防器材等措施。</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危险源评价表》，识别办公活动、采购销售过程、检验过程、生产过程中的危险源。如烧水壶饮水机使用不当烫伤、地面积水湿滑滑倒、化学品泄漏、生产过程未正确使用劳动防护用品造成人身伤害、销售过程中的运输汽车事故等。</w:t>
            </w:r>
          </w:p>
          <w:p>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查到《不可接受风险清单》，</w:t>
            </w:r>
            <w:r>
              <w:rPr>
                <w:rFonts w:hint="eastAsia" w:ascii="宋体" w:hAnsi="宋体" w:eastAsia="宋体" w:cs="宋体"/>
                <w:sz w:val="21"/>
                <w:szCs w:val="21"/>
                <w:lang w:eastAsia="zh-CN"/>
              </w:rPr>
              <w:drawing>
                <wp:inline distT="0" distB="0" distL="114300" distR="114300">
                  <wp:extent cx="5804535" cy="2351405"/>
                  <wp:effectExtent l="0" t="0" r="12065" b="10795"/>
                  <wp:docPr id="3" name="图片 3" descr="微信图片_202109132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913220122"/>
                          <pic:cNvPicPr>
                            <a:picLocks noChangeAspect="1"/>
                          </pic:cNvPicPr>
                        </pic:nvPicPr>
                        <pic:blipFill>
                          <a:blip r:embed="rId7"/>
                          <a:stretch>
                            <a:fillRect/>
                          </a:stretch>
                        </pic:blipFill>
                        <pic:spPr>
                          <a:xfrm>
                            <a:off x="0" y="0"/>
                            <a:ext cx="5804535" cy="2351405"/>
                          </a:xfrm>
                          <a:prstGeom prst="rect">
                            <a:avLst/>
                          </a:prstGeom>
                        </pic:spPr>
                      </pic:pic>
                    </a:graphicData>
                  </a:graphic>
                </wp:inline>
              </w:drawing>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涉及</w:t>
            </w:r>
            <w:r>
              <w:rPr>
                <w:rFonts w:hint="eastAsia" w:ascii="宋体" w:hAnsi="宋体" w:cs="宋体"/>
                <w:sz w:val="21"/>
                <w:szCs w:val="21"/>
                <w:lang w:eastAsia="zh-CN"/>
              </w:rPr>
              <w:t>综合部</w:t>
            </w:r>
            <w:r>
              <w:rPr>
                <w:rFonts w:hint="eastAsia" w:ascii="宋体" w:hAnsi="宋体" w:eastAsia="宋体" w:cs="宋体"/>
                <w:sz w:val="21"/>
                <w:szCs w:val="21"/>
              </w:rPr>
              <w:t>的危险源主要是火灾和触电等。</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危险源控制执行管理方案、配备消防器材、个体防护、日常检查、日常培训教育等运行控制措施等。</w:t>
            </w:r>
          </w:p>
        </w:tc>
        <w:tc>
          <w:tcPr>
            <w:tcW w:w="1134"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top"/>
          </w:tcPr>
          <w:p>
            <w:pPr>
              <w:spacing w:line="360" w:lineRule="auto"/>
              <w:rPr>
                <w:rFonts w:hint="eastAsia" w:ascii="宋体" w:hAnsi="宋体" w:eastAsia="宋体" w:cs="宋体"/>
                <w:b w:val="0"/>
                <w:bCs w:val="0"/>
                <w:i w:val="0"/>
                <w:iCs w:val="0"/>
                <w:sz w:val="21"/>
                <w:szCs w:val="21"/>
                <w:u w:val="none"/>
              </w:rPr>
            </w:pPr>
            <w:r>
              <w:rPr>
                <w:rFonts w:hint="eastAsia" w:ascii="宋体" w:hAnsi="宋体" w:eastAsia="宋体" w:cs="宋体"/>
                <w:sz w:val="21"/>
                <w:szCs w:val="21"/>
              </w:rPr>
              <w:t>合规义务、法律法规和其他要求</w:t>
            </w:r>
          </w:p>
        </w:tc>
        <w:tc>
          <w:tcPr>
            <w:tcW w:w="1311" w:type="dxa"/>
            <w:vAlign w:val="center"/>
          </w:tcPr>
          <w:p>
            <w:pPr>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 xml:space="preserve">6.1.3 </w:t>
            </w:r>
          </w:p>
          <w:p>
            <w:pPr>
              <w:snapToGrid w:val="0"/>
              <w:spacing w:line="360" w:lineRule="auto"/>
              <w:jc w:val="left"/>
              <w:rPr>
                <w:rFonts w:hint="eastAsia" w:ascii="宋体" w:hAnsi="宋体" w:eastAsia="宋体" w:cs="宋体"/>
                <w:b w:val="0"/>
                <w:bCs w:val="0"/>
                <w:i w:val="0"/>
                <w:iCs w:val="0"/>
                <w:sz w:val="21"/>
                <w:szCs w:val="21"/>
                <w:u w:val="none"/>
                <w:lang w:val="en-US" w:eastAsia="zh-CN"/>
              </w:rPr>
            </w:pPr>
          </w:p>
        </w:tc>
        <w:tc>
          <w:tcPr>
            <w:tcW w:w="10455"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编制了《法律、法规和其他要求识别管理程序》，对法律法规的识别更新和应用进行规定。</w:t>
            </w:r>
            <w:r>
              <w:rPr>
                <w:rFonts w:hint="eastAsia" w:ascii="宋体" w:hAnsi="宋体" w:cs="宋体"/>
                <w:sz w:val="21"/>
                <w:szCs w:val="21"/>
                <w:lang w:eastAsia="zh-CN"/>
              </w:rPr>
              <w:t>综合部</w:t>
            </w:r>
            <w:r>
              <w:rPr>
                <w:rFonts w:hint="eastAsia" w:ascii="宋体" w:hAnsi="宋体" w:eastAsia="宋体" w:cs="宋体"/>
                <w:sz w:val="21"/>
                <w:szCs w:val="21"/>
              </w:rPr>
              <w:t>为主控部门。</w:t>
            </w:r>
          </w:p>
          <w:p>
            <w:pPr>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部门人员介绍：主要通过网络、报纸杂志电视等新闻媒体、购买、上级下发等多种形式收集本公司适用的法律法规。</w:t>
            </w:r>
          </w:p>
          <w:p>
            <w:pPr>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提供了“法律法规清单”：如《中华人民共和国环境保护法》、《中华人民共和国环境影响评价法》、《中华人民共和国水污染防治法》、《中华人民共和国大气污染防治法》、《工伤保险条例》、《中华人民共和国职业病防治法》、《</w:t>
            </w:r>
            <w:r>
              <w:rPr>
                <w:rFonts w:hint="eastAsia" w:ascii="宋体" w:hAnsi="宋体" w:cs="宋体"/>
                <w:sz w:val="21"/>
                <w:szCs w:val="21"/>
                <w:lang w:eastAsia="zh-CN"/>
              </w:rPr>
              <w:t>江苏省</w:t>
            </w:r>
            <w:r>
              <w:rPr>
                <w:rFonts w:hint="eastAsia" w:ascii="宋体" w:hAnsi="宋体" w:eastAsia="宋体" w:cs="宋体"/>
                <w:sz w:val="21"/>
                <w:szCs w:val="21"/>
              </w:rPr>
              <w:t>劳动保障监察条例》等。</w:t>
            </w:r>
          </w:p>
          <w:p>
            <w:pPr>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已识别法律法规及其它要求的适用条款，并与环境因素、危险源相对应。</w:t>
            </w:r>
          </w:p>
          <w:p>
            <w:pPr>
              <w:snapToGrid w:val="0"/>
              <w:spacing w:line="360" w:lineRule="auto"/>
              <w:ind w:firstLine="420" w:firstLineChars="200"/>
              <w:jc w:val="left"/>
              <w:rPr>
                <w:rFonts w:hint="eastAsia" w:ascii="宋体" w:hAnsi="宋体" w:eastAsia="宋体" w:cs="宋体"/>
                <w:b w:val="0"/>
                <w:bCs w:val="0"/>
                <w:i w:val="0"/>
                <w:iCs w:val="0"/>
                <w:sz w:val="21"/>
                <w:szCs w:val="21"/>
                <w:u w:val="none"/>
                <w:lang w:val="en-US" w:eastAsia="zh-CN"/>
              </w:rPr>
            </w:pPr>
            <w:r>
              <w:rPr>
                <w:rFonts w:hint="eastAsia" w:ascii="宋体" w:hAnsi="宋体" w:eastAsia="宋体" w:cs="宋体"/>
                <w:sz w:val="21"/>
                <w:szCs w:val="21"/>
              </w:rPr>
              <w:t>公司法律、法规及其它要求都有现行文本，大部分为电子版本。各部门如有需要到行政部查阅。公司通过培训、会议等方式向有关员工传达法律、法规及其它要求的相关要求。</w:t>
            </w:r>
          </w:p>
        </w:tc>
        <w:tc>
          <w:tcPr>
            <w:tcW w:w="1134"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809" w:type="dxa"/>
            <w:vAlign w:val="top"/>
          </w:tcPr>
          <w:p>
            <w:pPr>
              <w:spacing w:line="360" w:lineRule="auto"/>
              <w:rPr>
                <w:rFonts w:hint="eastAsia" w:ascii="宋体" w:hAnsi="宋体" w:eastAsia="宋体" w:cs="宋体"/>
                <w:b w:val="0"/>
                <w:bCs w:val="0"/>
                <w:i w:val="0"/>
                <w:iCs w:val="0"/>
                <w:sz w:val="21"/>
                <w:szCs w:val="21"/>
                <w:u w:val="none"/>
              </w:rPr>
            </w:pPr>
            <w:r>
              <w:rPr>
                <w:rFonts w:hint="eastAsia" w:ascii="宋体" w:hAnsi="宋体" w:eastAsia="宋体" w:cs="宋体"/>
                <w:sz w:val="21"/>
                <w:szCs w:val="21"/>
              </w:rPr>
              <w:t>合规性评价</w:t>
            </w:r>
          </w:p>
        </w:tc>
        <w:tc>
          <w:tcPr>
            <w:tcW w:w="1311" w:type="dxa"/>
            <w:vAlign w:val="top"/>
          </w:tcPr>
          <w:p>
            <w:pPr>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 xml:space="preserve">9.1.2 </w:t>
            </w:r>
          </w:p>
          <w:p>
            <w:pPr>
              <w:snapToGrid w:val="0"/>
              <w:spacing w:line="360" w:lineRule="auto"/>
              <w:ind w:firstLine="420" w:firstLineChars="200"/>
              <w:jc w:val="left"/>
              <w:rPr>
                <w:rFonts w:hint="eastAsia" w:ascii="宋体" w:hAnsi="宋体" w:eastAsia="宋体" w:cs="宋体"/>
                <w:b w:val="0"/>
                <w:bCs w:val="0"/>
                <w:i w:val="0"/>
                <w:iCs w:val="0"/>
                <w:sz w:val="21"/>
                <w:szCs w:val="21"/>
                <w:u w:val="none"/>
              </w:rPr>
            </w:pPr>
          </w:p>
        </w:tc>
        <w:tc>
          <w:tcPr>
            <w:tcW w:w="10455" w:type="dxa"/>
            <w:vAlign w:val="center"/>
          </w:tcPr>
          <w:p>
            <w:pPr>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编制了《合规性评价程序》，其中规定了对本公司法规及其他要求的合规性评价的要求。</w:t>
            </w:r>
          </w:p>
          <w:p>
            <w:pPr>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提供了20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w:t>
            </w:r>
            <w:r>
              <w:rPr>
                <w:rFonts w:hint="eastAsia" w:ascii="宋体" w:hAnsi="宋体" w:cs="宋体"/>
                <w:sz w:val="21"/>
                <w:szCs w:val="21"/>
                <w:lang w:val="en-US" w:eastAsia="zh-CN"/>
              </w:rPr>
              <w:t>1</w:t>
            </w:r>
            <w:r>
              <w:rPr>
                <w:rFonts w:hint="eastAsia" w:ascii="宋体" w:hAnsi="宋体" w:eastAsia="宋体" w:cs="宋体"/>
                <w:sz w:val="21"/>
                <w:szCs w:val="21"/>
              </w:rPr>
              <w:t>.</w:t>
            </w:r>
            <w:r>
              <w:rPr>
                <w:rFonts w:hint="eastAsia" w:ascii="宋体" w:hAnsi="宋体" w:cs="宋体"/>
                <w:sz w:val="21"/>
                <w:szCs w:val="21"/>
                <w:lang w:val="en-US" w:eastAsia="zh-CN"/>
              </w:rPr>
              <w:t>22</w:t>
            </w:r>
            <w:r>
              <w:rPr>
                <w:rFonts w:hint="eastAsia" w:ascii="宋体" w:hAnsi="宋体" w:eastAsia="宋体" w:cs="宋体"/>
                <w:sz w:val="21"/>
                <w:szCs w:val="21"/>
              </w:rPr>
              <w:t>日的“合规性评价”记录，</w:t>
            </w:r>
            <w:r>
              <w:rPr>
                <w:rFonts w:hint="eastAsia" w:ascii="宋体" w:hAnsi="宋体" w:cs="宋体"/>
                <w:sz w:val="21"/>
                <w:szCs w:val="21"/>
                <w:lang w:eastAsia="zh-CN"/>
              </w:rPr>
              <w:t>综合部</w:t>
            </w:r>
            <w:r>
              <w:rPr>
                <w:rFonts w:hint="eastAsia" w:ascii="宋体" w:hAnsi="宋体" w:cs="宋体"/>
                <w:sz w:val="21"/>
                <w:szCs w:val="21"/>
                <w:lang w:val="en-US" w:eastAsia="zh-CN"/>
              </w:rPr>
              <w:t>潘朦芝</w:t>
            </w:r>
            <w:r>
              <w:rPr>
                <w:rFonts w:hint="eastAsia" w:ascii="宋体" w:hAnsi="宋体" w:eastAsia="宋体" w:cs="宋体"/>
                <w:sz w:val="21"/>
                <w:szCs w:val="21"/>
              </w:rPr>
              <w:t>等对收集的法规进行了评价，</w:t>
            </w:r>
            <w:r>
              <w:rPr>
                <w:rFonts w:hint="eastAsia" w:ascii="宋体" w:hAnsi="宋体" w:cs="宋体"/>
                <w:sz w:val="21"/>
                <w:szCs w:val="21"/>
                <w:lang w:val="en-US" w:eastAsia="zh-CN"/>
              </w:rPr>
              <w:t>沈丹玲</w:t>
            </w:r>
            <w:r>
              <w:rPr>
                <w:rFonts w:hint="eastAsia" w:ascii="宋体" w:hAnsi="宋体" w:eastAsia="宋体" w:cs="宋体"/>
                <w:sz w:val="21"/>
                <w:szCs w:val="21"/>
              </w:rPr>
              <w:t>批准。抽3个法规评价情况如下：</w:t>
            </w:r>
          </w:p>
          <w:p>
            <w:pPr>
              <w:snapToGri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抽《中华人民共和国环境噪声污染防治法》，对应的环境因素：噪声排放；适用条款：第二、三、四章/环境保护；适用部门：公司各部门；评价结果：符合要求。</w:t>
            </w:r>
          </w:p>
          <w:p>
            <w:pPr>
              <w:snapToGrid w:val="0"/>
              <w:spacing w:before="156" w:beforeLines="50" w:after="156" w:afterLines="50"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再抽《工伤保险条例》、《中华人民共和国职业病防治法》、《</w:t>
            </w:r>
            <w:r>
              <w:rPr>
                <w:rFonts w:hint="eastAsia" w:ascii="宋体" w:hAnsi="宋体" w:cs="宋体"/>
                <w:sz w:val="21"/>
                <w:szCs w:val="21"/>
                <w:lang w:val="en-US" w:eastAsia="zh-CN"/>
              </w:rPr>
              <w:t>无锡</w:t>
            </w:r>
            <w:r>
              <w:rPr>
                <w:rFonts w:hint="eastAsia" w:ascii="宋体" w:hAnsi="宋体" w:eastAsia="宋体" w:cs="宋体"/>
                <w:sz w:val="21"/>
                <w:szCs w:val="21"/>
              </w:rPr>
              <w:t>消防安全管理考核奖惩办法》的评价“合规性评价”记录，记录内容基本同上，均符合要求。</w:t>
            </w:r>
          </w:p>
          <w:p>
            <w:pPr>
              <w:snapToGrid w:val="0"/>
              <w:spacing w:before="156" w:beforeLines="50" w:after="156" w:afterLines="50" w:line="360" w:lineRule="auto"/>
              <w:ind w:firstLine="420" w:firstLineChars="200"/>
              <w:jc w:val="left"/>
              <w:rPr>
                <w:rFonts w:hint="eastAsia" w:ascii="宋体" w:hAnsi="宋体" w:eastAsia="宋体" w:cs="宋体"/>
                <w:b w:val="0"/>
                <w:bCs w:val="0"/>
                <w:i w:val="0"/>
                <w:iCs w:val="0"/>
                <w:sz w:val="21"/>
                <w:szCs w:val="21"/>
                <w:u w:val="none"/>
                <w:lang w:val="en-US" w:eastAsia="zh-CN"/>
              </w:rPr>
            </w:pPr>
            <w:r>
              <w:rPr>
                <w:rFonts w:hint="eastAsia" w:ascii="宋体" w:hAnsi="宋体" w:eastAsia="宋体" w:cs="宋体"/>
                <w:sz w:val="21"/>
                <w:szCs w:val="21"/>
              </w:rPr>
              <w:t>部门已对有关法规及其他要求进行识别、评价，满足要求。</w:t>
            </w:r>
          </w:p>
        </w:tc>
        <w:tc>
          <w:tcPr>
            <w:tcW w:w="1134" w:type="dxa"/>
          </w:tcPr>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cs="新宋体"/>
                <w:sz w:val="18"/>
                <w:szCs w:val="18"/>
              </w:rPr>
              <w:t>能力</w:t>
            </w:r>
          </w:p>
        </w:tc>
        <w:tc>
          <w:tcPr>
            <w:tcW w:w="1311" w:type="dxa"/>
            <w:vAlign w:val="center"/>
          </w:tcPr>
          <w:p>
            <w:pPr>
              <w:spacing w:line="360" w:lineRule="auto"/>
              <w:rPr>
                <w:rFonts w:hint="eastAsia" w:ascii="宋体" w:hAnsi="宋体" w:eastAsia="宋体" w:cs="宋体"/>
                <w:sz w:val="21"/>
                <w:szCs w:val="21"/>
              </w:rPr>
            </w:pPr>
            <w:r>
              <w:rPr>
                <w:rFonts w:hint="eastAsia" w:ascii="宋体" w:hAnsi="宋体" w:cs="新宋体"/>
                <w:sz w:val="18"/>
                <w:szCs w:val="18"/>
                <w:lang w:val="en-US" w:eastAsia="zh-CN"/>
              </w:rPr>
              <w:t>EO</w:t>
            </w:r>
            <w:r>
              <w:rPr>
                <w:rFonts w:hint="eastAsia" w:ascii="宋体" w:hAnsi="宋体" w:cs="新宋体"/>
                <w:sz w:val="18"/>
                <w:szCs w:val="18"/>
              </w:rPr>
              <w:t>7.2</w:t>
            </w:r>
          </w:p>
        </w:tc>
        <w:tc>
          <w:tcPr>
            <w:tcW w:w="10455" w:type="dxa"/>
            <w:vAlign w:val="center"/>
          </w:tcPr>
          <w:p>
            <w:pPr>
              <w:rPr>
                <w:rFonts w:hint="eastAsia" w:ascii="Times New Roman" w:hAnsi="Times New Roman"/>
                <w:sz w:val="21"/>
                <w:szCs w:val="21"/>
                <w:lang w:val="en-US" w:eastAsia="zh-CN"/>
              </w:rPr>
            </w:pPr>
            <w:r>
              <w:rPr>
                <w:rFonts w:hint="eastAsia" w:ascii="Times New Roman" w:hAnsi="Times New Roman"/>
                <w:sz w:val="21"/>
                <w:szCs w:val="21"/>
                <w:lang w:val="en-US" w:eastAsia="zh-CN"/>
              </w:rPr>
              <w:t>编制“岗位职责和能力要求”，规定了公司领导、各级人员等关于环境工作的任职要求以及岗位职责等，对整体人员需求、能力要求及作用进行规定，其中对重要岗位人员的能力要求进行了评定，确保人员满足岗位要求。</w:t>
            </w:r>
          </w:p>
          <w:p>
            <w:pPr>
              <w:rPr>
                <w:rFonts w:hint="eastAsia" w:ascii="Times New Roman" w:hAnsi="Times New Roman"/>
                <w:sz w:val="21"/>
                <w:szCs w:val="21"/>
                <w:lang w:val="en-US" w:eastAsia="zh-CN"/>
              </w:rPr>
            </w:pPr>
            <w:r>
              <w:rPr>
                <w:rFonts w:hint="eastAsia" w:ascii="Times New Roman" w:hAnsi="Times New Roman"/>
                <w:sz w:val="21"/>
                <w:szCs w:val="21"/>
                <w:lang w:val="en-US" w:eastAsia="zh-CN"/>
              </w:rPr>
              <w:t>抽办公室主任、生产部经理等岗位，符合规定。查内审员经培训考核合格上岗。查对公司目前人员的评价记录，主要对关键岗位以及公司各级管理人员等进行了评价。提供员工能力考核表。</w:t>
            </w:r>
          </w:p>
          <w:p>
            <w:pPr>
              <w:rPr>
                <w:rFonts w:hint="eastAsia" w:ascii="Times New Roman" w:hAnsi="Times New Roman"/>
                <w:sz w:val="21"/>
                <w:szCs w:val="21"/>
                <w:lang w:val="en-US" w:eastAsia="zh-CN"/>
              </w:rPr>
            </w:pPr>
            <w:r>
              <w:rPr>
                <w:rFonts w:hint="eastAsia" w:ascii="Times New Roman" w:hAnsi="Times New Roman"/>
                <w:sz w:val="21"/>
                <w:szCs w:val="21"/>
                <w:lang w:val="en-US" w:eastAsia="zh-CN"/>
              </w:rPr>
              <w:t>提供“2021年培训计划”共</w:t>
            </w:r>
            <w:r>
              <w:rPr>
                <w:rFonts w:hint="eastAsia"/>
                <w:sz w:val="21"/>
                <w:szCs w:val="21"/>
                <w:lang w:val="en-US" w:eastAsia="zh-CN"/>
              </w:rPr>
              <w:t>8</w:t>
            </w:r>
            <w:r>
              <w:rPr>
                <w:rFonts w:hint="eastAsia" w:ascii="Times New Roman" w:hAnsi="Times New Roman"/>
                <w:sz w:val="21"/>
                <w:szCs w:val="21"/>
                <w:lang w:val="en-US" w:eastAsia="zh-CN"/>
              </w:rPr>
              <w:t>项，内容包括：宣贯GB/T24001、宣贯公司体系文件、内审知识、技能、岗位职责、环境保护、消防知识</w:t>
            </w:r>
            <w:r>
              <w:rPr>
                <w:rFonts w:hint="eastAsia"/>
                <w:sz w:val="21"/>
                <w:szCs w:val="21"/>
                <w:lang w:val="en-US" w:eastAsia="zh-CN"/>
              </w:rPr>
              <w:t>等</w:t>
            </w:r>
            <w:r>
              <w:rPr>
                <w:rFonts w:hint="eastAsia" w:ascii="Times New Roman" w:hAnsi="Times New Roman"/>
                <w:sz w:val="21"/>
                <w:szCs w:val="21"/>
                <w:lang w:val="en-US" w:eastAsia="zh-CN"/>
              </w:rPr>
              <w:t>，目前已部分实施完成。</w:t>
            </w:r>
          </w:p>
          <w:p>
            <w:pPr>
              <w:spacing w:line="360" w:lineRule="auto"/>
              <w:ind w:firstLine="420" w:firstLineChars="200"/>
              <w:rPr>
                <w:rFonts w:hint="eastAsia" w:ascii="宋体" w:hAnsi="宋体" w:eastAsia="宋体" w:cs="宋体"/>
                <w:sz w:val="21"/>
                <w:szCs w:val="21"/>
              </w:rPr>
            </w:pPr>
            <w:r>
              <w:rPr>
                <w:rFonts w:hint="eastAsia" w:ascii="Times New Roman" w:hAnsi="Times New Roman"/>
                <w:sz w:val="21"/>
                <w:szCs w:val="21"/>
                <w:lang w:val="en-US" w:eastAsia="zh-CN"/>
              </w:rPr>
              <w:t>查内部培训记录，提供《培训记录表》</w:t>
            </w:r>
            <w:r>
              <w:rPr>
                <w:rFonts w:hint="eastAsia" w:ascii="宋体" w:hAnsi="宋体" w:eastAsia="宋体" w:cs="宋体"/>
                <w:sz w:val="21"/>
                <w:szCs w:val="21"/>
              </w:rPr>
              <w:drawing>
                <wp:inline distT="0" distB="0" distL="114300" distR="114300">
                  <wp:extent cx="4572000" cy="4457700"/>
                  <wp:effectExtent l="0" t="0" r="0" b="0"/>
                  <wp:docPr id="4" name="图片 4" descr="微信图片_202109140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914081944"/>
                          <pic:cNvPicPr>
                            <a:picLocks noChangeAspect="1"/>
                          </pic:cNvPicPr>
                        </pic:nvPicPr>
                        <pic:blipFill>
                          <a:blip r:embed="rId8"/>
                          <a:stretch>
                            <a:fillRect/>
                          </a:stretch>
                        </pic:blipFill>
                        <pic:spPr>
                          <a:xfrm>
                            <a:off x="0" y="0"/>
                            <a:ext cx="4572000" cy="4457700"/>
                          </a:xfrm>
                          <a:prstGeom prst="rect">
                            <a:avLst/>
                          </a:prstGeom>
                        </pic:spPr>
                      </pic:pic>
                    </a:graphicData>
                  </a:graphic>
                </wp:inline>
              </w:drawing>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cs="新宋体"/>
                <w:sz w:val="18"/>
                <w:szCs w:val="18"/>
              </w:rPr>
              <w:t>意识</w:t>
            </w:r>
          </w:p>
        </w:tc>
        <w:tc>
          <w:tcPr>
            <w:tcW w:w="1311" w:type="dxa"/>
            <w:vAlign w:val="center"/>
          </w:tcPr>
          <w:p>
            <w:pPr>
              <w:spacing w:line="360" w:lineRule="auto"/>
              <w:rPr>
                <w:rFonts w:hint="eastAsia" w:ascii="宋体" w:hAnsi="宋体" w:eastAsia="宋体" w:cs="宋体"/>
                <w:sz w:val="21"/>
                <w:szCs w:val="21"/>
              </w:rPr>
            </w:pPr>
            <w:r>
              <w:rPr>
                <w:rFonts w:hint="eastAsia" w:ascii="宋体" w:hAnsi="宋体" w:cs="新宋体"/>
                <w:sz w:val="18"/>
                <w:szCs w:val="18"/>
                <w:lang w:val="en-US" w:eastAsia="zh-CN"/>
              </w:rPr>
              <w:t>EO</w:t>
            </w:r>
            <w:r>
              <w:rPr>
                <w:rFonts w:hint="eastAsia" w:ascii="宋体" w:hAnsi="宋体" w:cs="新宋体"/>
                <w:sz w:val="18"/>
                <w:szCs w:val="18"/>
              </w:rPr>
              <w:t>7.3</w:t>
            </w:r>
          </w:p>
        </w:tc>
        <w:tc>
          <w:tcPr>
            <w:tcW w:w="1045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公司通过学习、会议、宣传等方法使在组织控制范围内的相关工作人员知晓和理解：质量、环境、职业健康安全方针、相关的质量、环境、职业健康安全目标；</w:t>
            </w:r>
          </w:p>
          <w:p>
            <w:pPr>
              <w:spacing w:line="360" w:lineRule="auto"/>
              <w:ind w:firstLine="420" w:firstLineChars="200"/>
              <w:rPr>
                <w:rFonts w:hint="eastAsia" w:ascii="宋体" w:hAnsi="宋体" w:eastAsia="宋体" w:cs="宋体"/>
                <w:sz w:val="21"/>
                <w:szCs w:val="21"/>
              </w:rPr>
            </w:pPr>
            <w:r>
              <w:rPr>
                <w:rFonts w:hint="eastAsia" w:cs="宋体" w:asciiTheme="minorEastAsia" w:hAnsiTheme="minorEastAsia" w:eastAsiaTheme="minorEastAsia"/>
                <w:szCs w:val="21"/>
              </w:rPr>
              <w:t>员工为本公司管理体系有效性的贡献的意义和途径，包括改进管理绩效的益处；不符合质量、环境和职业健康安全管理体系要求的后果。</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809" w:type="dxa"/>
            <w:vAlign w:val="center"/>
          </w:tcPr>
          <w:p>
            <w:pPr>
              <w:spacing w:line="360" w:lineRule="auto"/>
              <w:rPr>
                <w:rFonts w:hint="default" w:ascii="宋体" w:hAnsi="宋体" w:eastAsia="宋体" w:cs="宋体"/>
                <w:sz w:val="21"/>
                <w:szCs w:val="21"/>
                <w:lang w:val="en-US" w:eastAsia="zh-CN"/>
              </w:rPr>
            </w:pPr>
            <w:r>
              <w:rPr>
                <w:rFonts w:hint="eastAsia" w:ascii="宋体" w:hAnsi="宋体" w:cs="新宋体"/>
                <w:sz w:val="18"/>
                <w:szCs w:val="18"/>
              </w:rPr>
              <w:t>沟通</w:t>
            </w:r>
            <w:r>
              <w:rPr>
                <w:rFonts w:hint="eastAsia" w:ascii="宋体" w:hAnsi="宋体" w:cs="新宋体"/>
                <w:sz w:val="18"/>
                <w:szCs w:val="18"/>
                <w:lang w:val="en-US" w:eastAsia="zh-CN"/>
              </w:rPr>
              <w:t>,参与协商</w:t>
            </w:r>
          </w:p>
        </w:tc>
        <w:tc>
          <w:tcPr>
            <w:tcW w:w="1311" w:type="dxa"/>
            <w:vAlign w:val="center"/>
          </w:tcPr>
          <w:p>
            <w:pPr>
              <w:spacing w:line="360" w:lineRule="auto"/>
              <w:rPr>
                <w:rFonts w:hint="default" w:ascii="宋体" w:hAnsi="宋体" w:eastAsia="宋体" w:cs="宋体"/>
                <w:sz w:val="21"/>
                <w:szCs w:val="21"/>
                <w:lang w:val="en-US" w:eastAsia="zh-CN"/>
              </w:rPr>
            </w:pPr>
            <w:r>
              <w:rPr>
                <w:rFonts w:hint="eastAsia" w:ascii="宋体" w:hAnsi="宋体" w:cs="新宋体"/>
                <w:sz w:val="18"/>
                <w:szCs w:val="18"/>
                <w:lang w:val="en-US" w:eastAsia="zh-CN"/>
              </w:rPr>
              <w:t>E</w:t>
            </w:r>
            <w:r>
              <w:rPr>
                <w:rFonts w:hint="eastAsia" w:ascii="宋体" w:hAnsi="宋体" w:cs="新宋体"/>
                <w:sz w:val="18"/>
                <w:szCs w:val="18"/>
              </w:rPr>
              <w:t>7.4</w:t>
            </w:r>
            <w:r>
              <w:rPr>
                <w:rFonts w:hint="eastAsia" w:ascii="宋体" w:hAnsi="宋体" w:cs="新宋体"/>
                <w:sz w:val="18"/>
                <w:szCs w:val="18"/>
                <w:lang w:eastAsia="zh-CN"/>
              </w:rPr>
              <w:t>、</w:t>
            </w:r>
            <w:r>
              <w:rPr>
                <w:rFonts w:hint="eastAsia" w:ascii="宋体" w:hAnsi="宋体" w:cs="新宋体"/>
                <w:sz w:val="18"/>
                <w:szCs w:val="18"/>
                <w:lang w:val="en-US" w:eastAsia="zh-CN"/>
              </w:rPr>
              <w:t>05.4</w:t>
            </w:r>
          </w:p>
        </w:tc>
        <w:tc>
          <w:tcPr>
            <w:tcW w:w="10455" w:type="dxa"/>
            <w:vAlign w:val="center"/>
          </w:tcPr>
          <w:p>
            <w:pPr>
              <w:spacing w:line="360" w:lineRule="auto"/>
              <w:rPr>
                <w:rFonts w:asciiTheme="minorEastAsia" w:hAnsiTheme="minorEastAsia" w:eastAsiaTheme="minorEastAsia"/>
                <w:szCs w:val="24"/>
              </w:rPr>
            </w:pPr>
            <w:r>
              <w:rPr>
                <w:rFonts w:hint="eastAsia" w:asciiTheme="minorEastAsia" w:hAnsiTheme="minorEastAsia" w:eastAsiaTheme="minorEastAsia"/>
                <w:szCs w:val="24"/>
              </w:rPr>
              <w:t>编制了《</w:t>
            </w:r>
            <w:r>
              <w:rPr>
                <w:rFonts w:hint="eastAsia" w:ascii="宋体" w:hAnsi="宋体"/>
                <w:sz w:val="24"/>
              </w:rPr>
              <w:t>信息交流沟通控制程序</w:t>
            </w:r>
            <w:r>
              <w:rPr>
                <w:rFonts w:hint="eastAsia" w:asciiTheme="minorEastAsia" w:hAnsiTheme="minorEastAsia" w:eastAsiaTheme="minorEastAsia"/>
                <w:szCs w:val="24"/>
              </w:rPr>
              <w:t>》，规定：组织在各部门之间建立了与体系有关的信息通渠沟道，借助于会议、电话、口头交流等方式使全体员工达到沟通和理解。目前各部门协调一致，工作上的接口基本理顺。</w:t>
            </w:r>
          </w:p>
          <w:p>
            <w:pPr>
              <w:tabs>
                <w:tab w:val="left" w:pos="9720"/>
                <w:tab w:val="left" w:pos="9900"/>
              </w:tabs>
              <w:spacing w:before="62" w:beforeLines="20" w:after="62" w:afterLines="20" w:line="360" w:lineRule="auto"/>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总经理</w:t>
            </w:r>
            <w:r>
              <w:rPr>
                <w:rFonts w:hint="eastAsia" w:asciiTheme="minorEastAsia" w:hAnsiTheme="minorEastAsia" w:eastAsiaTheme="minorEastAsia"/>
                <w:szCs w:val="24"/>
                <w:lang w:eastAsia="zh-CN"/>
              </w:rPr>
              <w:t>沈丹玲</w:t>
            </w:r>
            <w:r>
              <w:rPr>
                <w:rFonts w:hint="eastAsia" w:asciiTheme="minorEastAsia" w:hAnsiTheme="minorEastAsia" w:eastAsiaTheme="minorEastAsia"/>
                <w:szCs w:val="24"/>
              </w:rPr>
              <w:t xml:space="preserve">定期主持经营办公例会，分析公司的发展、市场情况和体系运行是否有效，管理目标完成情况，满足顾客要求和法规程度，改进建议等内部管理存在问题等。  </w:t>
            </w:r>
          </w:p>
          <w:p>
            <w:pPr>
              <w:tabs>
                <w:tab w:val="left" w:pos="9720"/>
                <w:tab w:val="left" w:pos="9900"/>
              </w:tabs>
              <w:spacing w:before="62" w:beforeLines="20" w:after="62" w:afterLines="20" w:line="360" w:lineRule="auto"/>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总经理</w:t>
            </w:r>
            <w:r>
              <w:rPr>
                <w:rFonts w:hint="eastAsia" w:asciiTheme="minorEastAsia" w:hAnsiTheme="minorEastAsia" w:eastAsiaTheme="minorEastAsia"/>
                <w:szCs w:val="24"/>
                <w:lang w:eastAsia="zh-CN"/>
              </w:rPr>
              <w:t>沈丹玲</w:t>
            </w:r>
            <w:r>
              <w:rPr>
                <w:rFonts w:hint="eastAsia" w:asciiTheme="minorEastAsia" w:hAnsiTheme="minorEastAsia" w:eastAsiaTheme="minorEastAsia"/>
                <w:szCs w:val="24"/>
              </w:rPr>
              <w:t xml:space="preserve">为协商、参与提供了时间、机会、培训、资源等保障，明确了沟通、协商、参与渠道，消除了障碍和壁垒。 </w:t>
            </w:r>
          </w:p>
          <w:p>
            <w:pPr>
              <w:tabs>
                <w:tab w:val="left" w:pos="9720"/>
                <w:tab w:val="left" w:pos="9900"/>
              </w:tabs>
              <w:spacing w:before="62" w:beforeLines="20" w:after="62" w:afterLines="20" w:line="360" w:lineRule="auto"/>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公司规模不大，人员不多，组织为各部门管理人员及非管理类工作人员明确了职责和权限，各部门管理人员及非管理类工作人员参与了环境因素和危险源辨识、风险和机遇评价和控制措施的确定，在</w:t>
            </w:r>
            <w:r>
              <w:rPr>
                <w:rFonts w:asciiTheme="minorEastAsia" w:hAnsiTheme="minorEastAsia" w:eastAsiaTheme="minorEastAsia"/>
                <w:szCs w:val="24"/>
              </w:rPr>
              <w:t>确定相关方的需求和期望时进行了适当的协商</w:t>
            </w:r>
            <w:r>
              <w:rPr>
                <w:rFonts w:hint="eastAsia" w:asciiTheme="minorEastAsia" w:hAnsiTheme="minorEastAsia" w:eastAsiaTheme="minorEastAsia"/>
                <w:szCs w:val="24"/>
              </w:rPr>
              <w:t>，共同参与了质量、环境、职业健康安全方针和目标的制定和评审，共同协商</w:t>
            </w:r>
            <w:r>
              <w:rPr>
                <w:rFonts w:asciiTheme="minorEastAsia" w:hAnsiTheme="minorEastAsia" w:eastAsiaTheme="minorEastAsia"/>
                <w:szCs w:val="24"/>
              </w:rPr>
              <w:t>如何履行法律法规要求和其他要求</w:t>
            </w:r>
            <w:r>
              <w:rPr>
                <w:rFonts w:hint="eastAsia" w:asciiTheme="minorEastAsia" w:hAnsiTheme="minorEastAsia" w:eastAsiaTheme="minorEastAsia"/>
                <w:szCs w:val="24"/>
              </w:rPr>
              <w:t>，在确定管理体系的监视和测量及内部审核方案和持续改进方向时进行了事先协商，如有事件发生将组织相关人员适当参与事件调查；员工根据自身要求参与了培训计划的制定，对影响管理体系的任何变更将组织相关人员进行协商并且对职业健康安全事务发表意见。日常对于质量、环保、安全方面的信息主要利用会议、培训、电话、网络、收文等方式进行内外部沟通和协商。</w:t>
            </w:r>
          </w:p>
          <w:p>
            <w:pPr>
              <w:tabs>
                <w:tab w:val="center" w:pos="3169"/>
              </w:tabs>
              <w:spacing w:line="400" w:lineRule="exact"/>
              <w:jc w:val="left"/>
              <w:rPr>
                <w:rFonts w:asciiTheme="minorEastAsia" w:hAnsiTheme="minorEastAsia" w:eastAsiaTheme="minorEastAsia"/>
                <w:szCs w:val="24"/>
              </w:rPr>
            </w:pPr>
            <w:r>
              <w:rPr>
                <w:rFonts w:hint="eastAsia" w:asciiTheme="minorEastAsia" w:hAnsiTheme="minorEastAsia" w:eastAsiaTheme="minorEastAsia"/>
                <w:szCs w:val="24"/>
              </w:rPr>
              <w:t xml:space="preserve">   公司员工参与协商，员工提出参与安全知识的学习和培训，需要发放劳保用品。</w:t>
            </w:r>
          </w:p>
          <w:p>
            <w:pPr>
              <w:tabs>
                <w:tab w:val="center" w:pos="3169"/>
              </w:tabs>
              <w:spacing w:line="400" w:lineRule="exact"/>
              <w:ind w:firstLine="420" w:firstLineChars="200"/>
              <w:jc w:val="left"/>
              <w:rPr>
                <w:rFonts w:asciiTheme="minorEastAsia" w:hAnsiTheme="minorEastAsia" w:eastAsiaTheme="minorEastAsia"/>
                <w:szCs w:val="24"/>
              </w:rPr>
            </w:pPr>
            <w:r>
              <w:rPr>
                <w:rFonts w:hint="eastAsia" w:asciiTheme="minorEastAsia" w:hAnsiTheme="minorEastAsia" w:eastAsiaTheme="minorEastAsia"/>
                <w:szCs w:val="24"/>
              </w:rPr>
              <w:t>查见内部交流主要通过直接面谈、会议、文件、培训方式，外部交流主要通过电话、信函方式。也可以通过工会等员工权益机构提出诉求。</w:t>
            </w:r>
          </w:p>
          <w:p>
            <w:pPr>
              <w:spacing w:line="360" w:lineRule="auto"/>
              <w:ind w:firstLine="420" w:firstLineChars="200"/>
              <w:rPr>
                <w:rFonts w:asciiTheme="minorEastAsia" w:hAnsiTheme="minorEastAsia" w:eastAsiaTheme="minorEastAsia"/>
                <w:szCs w:val="24"/>
              </w:rPr>
            </w:pPr>
            <w:r>
              <w:rPr>
                <w:rFonts w:hint="eastAsia" w:asciiTheme="minorEastAsia" w:hAnsiTheme="minorEastAsia" w:eastAsiaTheme="minorEastAsia"/>
                <w:szCs w:val="24"/>
                <w:lang w:val="en-US" w:eastAsia="zh-CN"/>
              </w:rPr>
              <w:t>综合部</w:t>
            </w:r>
            <w:r>
              <w:rPr>
                <w:rFonts w:hint="eastAsia" w:asciiTheme="minorEastAsia" w:hAnsiTheme="minorEastAsia" w:eastAsiaTheme="minorEastAsia"/>
                <w:szCs w:val="24"/>
              </w:rPr>
              <w:t>是内外部信息交流的中心，通过会议、邮件、培训等形式进行内部交流，向外部接收各种文件传递各种报表，外部沟通联络的部门有环保部门、劳动部门、消防安全部门、质监部门、安监部门及合同方等。</w:t>
            </w:r>
          </w:p>
          <w:p>
            <w:pPr>
              <w:spacing w:line="360" w:lineRule="auto"/>
              <w:ind w:firstLine="420" w:firstLineChars="200"/>
              <w:rPr>
                <w:rFonts w:hint="eastAsia" w:ascii="宋体" w:hAnsi="宋体" w:eastAsia="宋体" w:cs="宋体"/>
                <w:sz w:val="21"/>
                <w:szCs w:val="21"/>
              </w:rPr>
            </w:pPr>
            <w:r>
              <w:rPr>
                <w:rFonts w:hint="eastAsia" w:asciiTheme="minorEastAsia" w:hAnsiTheme="minorEastAsia" w:eastAsiaTheme="minorEastAsia"/>
                <w:szCs w:val="24"/>
              </w:rPr>
              <w:t>现有的沟通渠道和方法能满足要求。审核中未发现因沟通不利不及时而造成（影响）某项工作不能正常运行的情况</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809"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hint="eastAsia" w:ascii="宋体" w:hAnsi="宋体" w:eastAsia="宋体" w:cs="宋体"/>
                <w:sz w:val="21"/>
                <w:szCs w:val="21"/>
              </w:rPr>
            </w:pPr>
            <w:r>
              <w:rPr>
                <w:rFonts w:hint="eastAsia" w:cs="宋体" w:asciiTheme="minorEastAsia" w:hAnsiTheme="minorEastAsia" w:eastAsiaTheme="minorEastAsia"/>
                <w:szCs w:val="21"/>
              </w:rPr>
              <w:t>形成文件信息 总则</w:t>
            </w:r>
          </w:p>
        </w:tc>
        <w:tc>
          <w:tcPr>
            <w:tcW w:w="1311" w:type="dxa"/>
            <w:vAlign w:val="center"/>
          </w:tcPr>
          <w:p>
            <w:pPr>
              <w:spacing w:line="360" w:lineRule="auto"/>
              <w:rPr>
                <w:rFonts w:hint="default" w:ascii="宋体" w:hAnsi="宋体" w:eastAsia="宋体" w:cs="宋体"/>
                <w:sz w:val="21"/>
                <w:szCs w:val="21"/>
                <w:lang w:val="en-US" w:eastAsia="zh-CN"/>
              </w:rPr>
            </w:pPr>
            <w:r>
              <w:rPr>
                <w:rFonts w:hint="eastAsia" w:ascii="宋体" w:hAnsi="宋体" w:cs="新宋体"/>
                <w:sz w:val="18"/>
                <w:szCs w:val="18"/>
                <w:lang w:val="en-US" w:eastAsia="zh-CN"/>
              </w:rPr>
              <w:t>EO</w:t>
            </w:r>
            <w:r>
              <w:rPr>
                <w:rFonts w:hint="eastAsia" w:ascii="宋体" w:hAnsi="宋体" w:cs="新宋体"/>
                <w:sz w:val="18"/>
                <w:szCs w:val="18"/>
              </w:rPr>
              <w:t>7.5</w:t>
            </w:r>
            <w:r>
              <w:rPr>
                <w:rFonts w:hint="eastAsia" w:ascii="宋体" w:hAnsi="宋体" w:cs="新宋体"/>
                <w:sz w:val="18"/>
                <w:szCs w:val="18"/>
                <w:lang w:val="en-US" w:eastAsia="zh-CN"/>
              </w:rPr>
              <w:t>.1</w:t>
            </w:r>
          </w:p>
        </w:tc>
        <w:tc>
          <w:tcPr>
            <w:tcW w:w="10455" w:type="dxa"/>
            <w:vAlign w:val="center"/>
          </w:tcPr>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公司环境、职业健康安全管理体系包括：</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手册、程序文件、管理制度、作业文件和外来文件、记录；</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公司建立文件和记录时考虑本公司的规模、经营现状、合规义务的需要，过程的复杂性以及人员的能力等因素，确定了为确保管理体系有效性所需的支持性文件。</w:t>
            </w:r>
            <w:r>
              <w:rPr>
                <w:rFonts w:cs="宋体" w:asciiTheme="minorEastAsia" w:hAnsiTheme="minorEastAsia" w:eastAsiaTheme="minorEastAsia"/>
                <w:szCs w:val="21"/>
              </w:rPr>
              <w:t xml:space="preserve"> </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1809"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hint="eastAsia" w:ascii="宋体" w:hAnsi="宋体" w:eastAsia="宋体" w:cs="宋体"/>
                <w:kern w:val="2"/>
                <w:sz w:val="21"/>
                <w:szCs w:val="21"/>
                <w:lang w:val="en-US" w:eastAsia="zh-CN" w:bidi="ar-SA"/>
              </w:rPr>
            </w:pPr>
            <w:r>
              <w:rPr>
                <w:rFonts w:hint="eastAsia" w:cs="宋体" w:asciiTheme="minorEastAsia" w:hAnsiTheme="minorEastAsia" w:eastAsiaTheme="minorEastAsia"/>
                <w:szCs w:val="21"/>
              </w:rPr>
              <w:t>创建和更新</w:t>
            </w:r>
          </w:p>
        </w:tc>
        <w:tc>
          <w:tcPr>
            <w:tcW w:w="1311" w:type="dxa"/>
            <w:vAlign w:val="center"/>
          </w:tcPr>
          <w:p>
            <w:pPr>
              <w:spacing w:line="360" w:lineRule="auto"/>
              <w:rPr>
                <w:rFonts w:hint="default" w:ascii="宋体" w:hAnsi="宋体" w:eastAsia="宋体" w:cs="宋体"/>
                <w:kern w:val="2"/>
                <w:sz w:val="21"/>
                <w:szCs w:val="21"/>
                <w:lang w:val="en-US" w:eastAsia="zh-CN" w:bidi="ar-SA"/>
              </w:rPr>
            </w:pPr>
            <w:r>
              <w:rPr>
                <w:rFonts w:hint="eastAsia" w:ascii="宋体" w:hAnsi="宋体" w:cs="新宋体"/>
                <w:sz w:val="18"/>
                <w:szCs w:val="18"/>
                <w:lang w:val="en-US" w:eastAsia="zh-CN"/>
              </w:rPr>
              <w:t>EO</w:t>
            </w:r>
            <w:r>
              <w:rPr>
                <w:rFonts w:hint="eastAsia" w:ascii="宋体" w:hAnsi="宋体" w:cs="新宋体"/>
                <w:sz w:val="18"/>
                <w:szCs w:val="18"/>
              </w:rPr>
              <w:t>7.5</w:t>
            </w:r>
            <w:r>
              <w:rPr>
                <w:rFonts w:hint="eastAsia" w:ascii="宋体" w:hAnsi="宋体" w:cs="新宋体"/>
                <w:sz w:val="18"/>
                <w:szCs w:val="18"/>
                <w:lang w:val="en-US" w:eastAsia="zh-CN"/>
              </w:rPr>
              <w:t>.2</w:t>
            </w:r>
          </w:p>
        </w:tc>
        <w:tc>
          <w:tcPr>
            <w:tcW w:w="10455" w:type="dxa"/>
            <w:vAlign w:val="center"/>
          </w:tcPr>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文件按程序执行更改和作废；负责人明确创建和更新成文信息时，确保文件标识和说明、适宜的格式和媒介、文件经过评审和批准，确保适宜性和充分性。</w:t>
            </w:r>
          </w:p>
        </w:tc>
        <w:tc>
          <w:tcPr>
            <w:tcW w:w="1134" w:type="dxa"/>
            <w:vAlign w:val="center"/>
          </w:tcPr>
          <w:p>
            <w:pPr>
              <w:spacing w:line="360" w:lineRule="auto"/>
              <w:rPr>
                <w:rFonts w:hint="eastAsia" w:ascii="宋体" w:hAnsi="宋体" w:cs="新宋体"/>
                <w:sz w:val="18"/>
                <w:szCs w:val="18"/>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809" w:type="dxa"/>
            <w:vAlign w:val="top"/>
          </w:tcPr>
          <w:p>
            <w:pPr>
              <w:spacing w:line="280" w:lineRule="exact"/>
              <w:jc w:val="left"/>
              <w:rPr>
                <w:rFonts w:cs="宋体" w:asciiTheme="minorEastAsia" w:hAnsiTheme="minorEastAsia" w:eastAsiaTheme="minorEastAsia"/>
                <w:szCs w:val="21"/>
              </w:rPr>
            </w:pPr>
          </w:p>
          <w:p>
            <w:pPr>
              <w:spacing w:line="280" w:lineRule="exact"/>
              <w:jc w:val="left"/>
              <w:rPr>
                <w:rFonts w:hint="eastAsia" w:ascii="宋体" w:hAnsi="宋体" w:eastAsia="宋体" w:cs="宋体"/>
                <w:kern w:val="2"/>
                <w:sz w:val="21"/>
                <w:szCs w:val="21"/>
                <w:lang w:val="en-US" w:eastAsia="zh-CN" w:bidi="ar-SA"/>
              </w:rPr>
            </w:pPr>
            <w:r>
              <w:rPr>
                <w:rFonts w:hint="eastAsia" w:cs="宋体" w:asciiTheme="minorEastAsia" w:hAnsiTheme="minorEastAsia" w:eastAsiaTheme="minorEastAsia"/>
                <w:szCs w:val="21"/>
              </w:rPr>
              <w:t>成文信息的控制</w:t>
            </w:r>
          </w:p>
        </w:tc>
        <w:tc>
          <w:tcPr>
            <w:tcW w:w="1311" w:type="dxa"/>
            <w:vAlign w:val="center"/>
          </w:tcPr>
          <w:p>
            <w:pPr>
              <w:spacing w:line="360" w:lineRule="auto"/>
              <w:rPr>
                <w:rFonts w:hint="default" w:ascii="宋体" w:hAnsi="宋体" w:eastAsia="宋体" w:cs="宋体"/>
                <w:kern w:val="2"/>
                <w:sz w:val="21"/>
                <w:szCs w:val="21"/>
                <w:lang w:val="en-US" w:eastAsia="zh-CN" w:bidi="ar-SA"/>
              </w:rPr>
            </w:pPr>
            <w:r>
              <w:rPr>
                <w:rFonts w:hint="eastAsia" w:ascii="宋体" w:hAnsi="宋体" w:cs="新宋体"/>
                <w:sz w:val="18"/>
                <w:szCs w:val="18"/>
                <w:lang w:val="en-US" w:eastAsia="zh-CN"/>
              </w:rPr>
              <w:t>EO</w:t>
            </w:r>
            <w:r>
              <w:rPr>
                <w:rFonts w:hint="eastAsia" w:ascii="宋体" w:hAnsi="宋体" w:cs="新宋体"/>
                <w:sz w:val="18"/>
                <w:szCs w:val="18"/>
              </w:rPr>
              <w:t>7.5</w:t>
            </w:r>
            <w:r>
              <w:rPr>
                <w:rFonts w:hint="eastAsia" w:ascii="宋体" w:hAnsi="宋体" w:cs="新宋体"/>
                <w:sz w:val="18"/>
                <w:szCs w:val="18"/>
                <w:lang w:val="en-US" w:eastAsia="zh-CN"/>
              </w:rPr>
              <w:t>.3</w:t>
            </w:r>
          </w:p>
        </w:tc>
        <w:tc>
          <w:tcPr>
            <w:tcW w:w="10455" w:type="dxa"/>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建立并执行《文件控制程序》</w:t>
            </w:r>
            <w:r>
              <w:rPr>
                <w:rFonts w:hint="eastAsia" w:ascii="宋体" w:hAnsi="宋体"/>
                <w:sz w:val="24"/>
                <w:lang w:eastAsia="zh-CN"/>
              </w:rPr>
              <w:t>HTSY</w:t>
            </w:r>
            <w:r>
              <w:rPr>
                <w:rFonts w:hint="eastAsia" w:ascii="宋体" w:hAnsi="宋体"/>
                <w:sz w:val="24"/>
              </w:rPr>
              <w:t>-CX-04-</w:t>
            </w:r>
            <w:r>
              <w:rPr>
                <w:rFonts w:hint="eastAsia" w:ascii="宋体" w:hAnsi="宋体"/>
                <w:sz w:val="24"/>
                <w:lang w:eastAsia="zh-CN"/>
              </w:rPr>
              <w:t>2020</w:t>
            </w:r>
            <w:r>
              <w:rPr>
                <w:rFonts w:hint="eastAsia" w:asciiTheme="minorEastAsia" w:hAnsiTheme="minorEastAsia" w:eastAsiaTheme="minorEastAsia"/>
                <w:szCs w:val="21"/>
                <w:highlight w:val="none"/>
                <w:lang w:val="en-US" w:eastAsia="zh-CN"/>
              </w:rPr>
              <w:t>、《记录控制程序》</w:t>
            </w:r>
            <w:r>
              <w:rPr>
                <w:rFonts w:hint="eastAsia" w:ascii="宋体" w:hAnsi="宋体"/>
                <w:sz w:val="24"/>
                <w:lang w:eastAsia="zh-CN"/>
              </w:rPr>
              <w:t>HTSY</w:t>
            </w:r>
            <w:r>
              <w:rPr>
                <w:rFonts w:hint="eastAsia" w:ascii="宋体" w:hAnsi="宋体"/>
                <w:sz w:val="24"/>
              </w:rPr>
              <w:t>-CX-05-</w:t>
            </w:r>
            <w:r>
              <w:rPr>
                <w:rFonts w:hint="eastAsia" w:ascii="宋体" w:hAnsi="宋体"/>
                <w:sz w:val="24"/>
                <w:lang w:eastAsia="zh-CN"/>
              </w:rPr>
              <w:t>2020</w:t>
            </w:r>
            <w:r>
              <w:rPr>
                <w:rFonts w:hint="eastAsia" w:cs="宋体" w:asciiTheme="minorEastAsia" w:hAnsiTheme="minorEastAsia" w:eastAsiaTheme="minorEastAsia"/>
                <w:szCs w:val="21"/>
              </w:rPr>
              <w:t>；</w:t>
            </w:r>
          </w:p>
          <w:p>
            <w:pPr>
              <w:spacing w:line="280" w:lineRule="exact"/>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提供</w:t>
            </w:r>
            <w:r>
              <w:rPr>
                <w:rFonts w:hint="eastAsia" w:cs="宋体" w:asciiTheme="minorEastAsia" w:hAnsiTheme="minorEastAsia" w:eastAsiaTheme="minorEastAsia"/>
                <w:color w:val="000000" w:themeColor="text1"/>
                <w:szCs w:val="21"/>
              </w:rPr>
              <w:t>受控文件清单（手册、程序</w:t>
            </w:r>
            <w:r>
              <w:rPr>
                <w:rFonts w:hint="eastAsia" w:cs="宋体" w:asciiTheme="minorEastAsia" w:hAnsiTheme="minorEastAsia" w:eastAsiaTheme="minorEastAsia"/>
                <w:szCs w:val="21"/>
              </w:rPr>
              <w:t>汇编成册）</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有名称、编号、实施日期</w:t>
            </w:r>
            <w:r>
              <w:rPr>
                <w:rFonts w:hint="eastAsia" w:cs="宋体" w:asciiTheme="minorEastAsia" w:hAnsiTheme="minorEastAsia" w:eastAsiaTheme="minorEastAsia"/>
                <w:szCs w:val="21"/>
                <w:lang w:eastAsia="zh-CN"/>
              </w:rPr>
              <w:t>；</w:t>
            </w:r>
          </w:p>
          <w:p>
            <w:pPr>
              <w:spacing w:line="280" w:lineRule="exact"/>
              <w:ind w:firstLine="42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提供控制</w:t>
            </w:r>
            <w:r>
              <w:rPr>
                <w:rFonts w:hint="eastAsia" w:cs="宋体" w:asciiTheme="minorEastAsia" w:hAnsiTheme="minorEastAsia" w:eastAsiaTheme="minorEastAsia"/>
                <w:szCs w:val="21"/>
              </w:rPr>
              <w:t>记录清单</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抽有行政部记录清单</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销售部记录清单，分部门进行登记，</w:t>
            </w:r>
            <w:r>
              <w:rPr>
                <w:rFonts w:hint="eastAsia" w:cs="宋体" w:asciiTheme="minorEastAsia" w:hAnsiTheme="minorEastAsia" w:eastAsiaTheme="minorEastAsia"/>
                <w:szCs w:val="21"/>
              </w:rPr>
              <w:t>明确记录保存期限</w:t>
            </w:r>
            <w:r>
              <w:rPr>
                <w:rFonts w:hint="eastAsia" w:cs="宋体" w:asciiTheme="minorEastAsia" w:hAnsiTheme="minorEastAsia" w:eastAsiaTheme="minorEastAsia"/>
                <w:szCs w:val="21"/>
                <w:lang w:val="en-US" w:eastAsia="zh-CN"/>
              </w:rPr>
              <w:t>；</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lang w:val="en-US" w:eastAsia="zh-CN"/>
              </w:rPr>
              <w:t>提供</w:t>
            </w:r>
            <w:r>
              <w:rPr>
                <w:rFonts w:hint="eastAsia" w:cs="宋体" w:asciiTheme="minorEastAsia" w:hAnsiTheme="minorEastAsia" w:eastAsiaTheme="minorEastAsia"/>
                <w:szCs w:val="21"/>
              </w:rPr>
              <w:t>法律法规和标准清单</w:t>
            </w:r>
            <w:r>
              <w:rPr>
                <w:rFonts w:cs="宋体" w:asciiTheme="minorEastAsia" w:hAnsiTheme="minorEastAsia" w:eastAsiaTheme="minorEastAsia"/>
                <w:szCs w:val="21"/>
              </w:rPr>
              <w:t>：</w:t>
            </w:r>
            <w:r>
              <w:rPr>
                <w:rFonts w:hint="eastAsia" w:cs="宋体" w:asciiTheme="minorEastAsia" w:hAnsiTheme="minorEastAsia" w:eastAsiaTheme="minorEastAsia"/>
                <w:szCs w:val="21"/>
              </w:rPr>
              <w:t>名称、版本、编号；</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查文件发放和资料发放回收登记表：</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202</w:t>
            </w:r>
            <w:r>
              <w:rPr>
                <w:rFonts w:hint="eastAsia" w:cs="宋体" w:asciiTheme="minorEastAsia" w:hAnsiTheme="minorEastAsia" w:eastAsiaTheme="minorEastAsia"/>
                <w:szCs w:val="21"/>
                <w:lang w:val="en-US" w:eastAsia="zh-CN"/>
              </w:rPr>
              <w:t>0</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6</w:t>
            </w:r>
            <w:r>
              <w:rPr>
                <w:rFonts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6</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下发管理手册</w:t>
            </w:r>
            <w:r>
              <w:rPr>
                <w:rFonts w:cs="宋体" w:asciiTheme="minorEastAsia" w:hAnsiTheme="minorEastAsia" w:eastAsiaTheme="minorEastAsia"/>
                <w:szCs w:val="21"/>
              </w:rPr>
              <w:t>、</w:t>
            </w:r>
            <w:r>
              <w:rPr>
                <w:rFonts w:hint="eastAsia" w:cs="宋体" w:asciiTheme="minorEastAsia" w:hAnsiTheme="minorEastAsia" w:eastAsiaTheme="minorEastAsia"/>
                <w:szCs w:val="21"/>
              </w:rPr>
              <w:t>程序文件汇编、管理制度汇编，有发放记录，各相关人员均签字领取；</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现场查看：用档案</w:t>
            </w:r>
            <w:r>
              <w:rPr>
                <w:rFonts w:hint="eastAsia" w:cs="宋体" w:asciiTheme="minorEastAsia" w:hAnsiTheme="minorEastAsia" w:eastAsiaTheme="minorEastAsia"/>
                <w:szCs w:val="21"/>
                <w:lang w:val="en-US" w:eastAsia="zh-CN"/>
              </w:rPr>
              <w:t>盒</w:t>
            </w:r>
            <w:r>
              <w:rPr>
                <w:rFonts w:hint="eastAsia" w:cs="宋体" w:asciiTheme="minorEastAsia" w:hAnsiTheme="minorEastAsia" w:eastAsiaTheme="minorEastAsia"/>
                <w:szCs w:val="21"/>
              </w:rPr>
              <w:t>、文件</w:t>
            </w:r>
            <w:r>
              <w:rPr>
                <w:rFonts w:hint="eastAsia" w:cs="宋体" w:asciiTheme="minorEastAsia" w:hAnsiTheme="minorEastAsia" w:eastAsiaTheme="minorEastAsia"/>
                <w:szCs w:val="21"/>
                <w:lang w:val="en-US" w:eastAsia="zh-CN"/>
              </w:rPr>
              <w:t>柜</w:t>
            </w:r>
            <w:r>
              <w:rPr>
                <w:rFonts w:hint="eastAsia" w:cs="宋体" w:asciiTheme="minorEastAsia" w:hAnsiTheme="minorEastAsia" w:eastAsiaTheme="minorEastAsia"/>
                <w:szCs w:val="21"/>
              </w:rPr>
              <w:t>存放文件记录，分类、编目，便于检索，保管正常。</w:t>
            </w:r>
          </w:p>
        </w:tc>
        <w:tc>
          <w:tcPr>
            <w:tcW w:w="1134" w:type="dxa"/>
            <w:vAlign w:val="center"/>
          </w:tcPr>
          <w:p>
            <w:pPr>
              <w:spacing w:line="360" w:lineRule="auto"/>
              <w:rPr>
                <w:rFonts w:hint="eastAsia" w:ascii="宋体" w:hAnsi="宋体" w:cs="新宋体"/>
                <w:sz w:val="18"/>
                <w:szCs w:val="18"/>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运行控制</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 xml:space="preserve">O </w:t>
            </w:r>
            <w:r>
              <w:rPr>
                <w:rFonts w:hint="eastAsia" w:ascii="宋体" w:hAnsi="宋体" w:eastAsia="宋体" w:cs="宋体"/>
                <w:sz w:val="21"/>
                <w:szCs w:val="21"/>
              </w:rPr>
              <w:t>8.1</w:t>
            </w:r>
          </w:p>
          <w:p>
            <w:pPr>
              <w:spacing w:line="360" w:lineRule="auto"/>
              <w:rPr>
                <w:rFonts w:hint="eastAsia" w:ascii="宋体" w:hAnsi="宋体" w:eastAsia="宋体" w:cs="宋体"/>
                <w:sz w:val="21"/>
                <w:szCs w:val="21"/>
              </w:rPr>
            </w:pPr>
          </w:p>
        </w:tc>
        <w:tc>
          <w:tcPr>
            <w:tcW w:w="10455" w:type="dxa"/>
            <w:vAlign w:val="center"/>
          </w:tcPr>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公司策划了如下要求对环境、安全体系运行进行控制，具体如下：</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1、公司编制了</w:t>
            </w:r>
            <w:r>
              <w:rPr>
                <w:rFonts w:hint="eastAsia" w:ascii="宋体" w:hAnsi="宋体" w:eastAsia="宋体" w:cs="宋体"/>
                <w:sz w:val="21"/>
                <w:szCs w:val="21"/>
              </w:rPr>
              <w:t>管理规定和程序文件</w:t>
            </w:r>
            <w:r>
              <w:rPr>
                <w:rFonts w:hint="eastAsia" w:ascii="宋体" w:hAnsi="宋体" w:eastAsia="宋体" w:cs="宋体"/>
                <w:color w:val="000000"/>
                <w:sz w:val="21"/>
                <w:szCs w:val="21"/>
              </w:rPr>
              <w:t>，规定了生产过程、销售过程环境、安全管理的要求。</w:t>
            </w:r>
          </w:p>
          <w:p>
            <w:pPr>
              <w:tabs>
                <w:tab w:val="left" w:pos="6597"/>
              </w:tabs>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2、公司无生产废水外排，生活废水</w:t>
            </w:r>
            <w:r>
              <w:rPr>
                <w:rFonts w:hint="eastAsia" w:ascii="宋体" w:hAnsi="宋体" w:eastAsia="宋体" w:cs="宋体"/>
                <w:color w:val="000000"/>
                <w:sz w:val="21"/>
                <w:szCs w:val="21"/>
                <w:lang w:val="en-US" w:eastAsia="zh-CN"/>
              </w:rPr>
              <w:t>进入市政管网</w:t>
            </w:r>
            <w:r>
              <w:rPr>
                <w:rFonts w:hint="eastAsia" w:ascii="宋体" w:hAnsi="宋体" w:eastAsia="宋体" w:cs="宋体"/>
                <w:color w:val="000000"/>
                <w:sz w:val="21"/>
                <w:szCs w:val="21"/>
              </w:rPr>
              <w:t>。</w:t>
            </w:r>
          </w:p>
          <w:p>
            <w:pPr>
              <w:snapToGrid w:val="0"/>
              <w:spacing w:line="360" w:lineRule="auto"/>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3、由</w:t>
            </w:r>
            <w:r>
              <w:rPr>
                <w:rFonts w:hint="eastAsia" w:ascii="宋体" w:hAnsi="宋体" w:cs="宋体"/>
                <w:color w:val="000000"/>
                <w:sz w:val="21"/>
                <w:szCs w:val="21"/>
                <w:lang w:eastAsia="zh-CN"/>
              </w:rPr>
              <w:t>综合部</w:t>
            </w:r>
            <w:r>
              <w:rPr>
                <w:rFonts w:hint="eastAsia" w:ascii="宋体" w:hAnsi="宋体" w:eastAsia="宋体" w:cs="宋体"/>
                <w:color w:val="000000"/>
                <w:sz w:val="21"/>
                <w:szCs w:val="21"/>
              </w:rPr>
              <w:t xml:space="preserve">负责全公司的消防器材的管理，生活区、办公区均配置了灭火器等消防装置。各类物资均分类存放，有垃圾桶，统一收集有关固废。办公区已放置了干粉灭火器，均在有效期内。 </w:t>
            </w:r>
          </w:p>
          <w:p>
            <w:pPr>
              <w:snapToGrid w:val="0"/>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4、工伤保险</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健康体检</w:t>
            </w:r>
            <w:r>
              <w:rPr>
                <w:rFonts w:hint="eastAsia" w:ascii="宋体" w:hAnsi="宋体" w:eastAsia="宋体" w:cs="宋体"/>
                <w:color w:val="000000"/>
                <w:sz w:val="21"/>
                <w:szCs w:val="21"/>
              </w:rPr>
              <w:t>：公司职工均参加了养老保险、工伤保险</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健康体检</w:t>
            </w:r>
            <w:r>
              <w:rPr>
                <w:rFonts w:hint="eastAsia" w:ascii="宋体" w:hAnsi="宋体" w:eastAsia="宋体" w:cs="宋体"/>
                <w:color w:val="000000"/>
                <w:sz w:val="21"/>
                <w:szCs w:val="21"/>
              </w:rPr>
              <w:t>等。</w:t>
            </w:r>
            <w:r>
              <w:rPr>
                <w:rFonts w:hint="eastAsia" w:ascii="宋体" w:hAnsi="宋体" w:eastAsia="宋体" w:cs="宋体"/>
                <w:color w:val="000000"/>
                <w:sz w:val="21"/>
                <w:szCs w:val="21"/>
              </w:rPr>
              <w:object>
                <v:shape id="_x0000_i1025" o:spt="75" type="#_x0000_t75" style="height:37.8pt;width:113.45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宋体" w:hAnsi="宋体" w:eastAsia="宋体" w:cs="宋体"/>
                <w:color w:val="000000"/>
                <w:sz w:val="21"/>
                <w:szCs w:val="21"/>
              </w:rPr>
              <w:object>
                <v:shape id="_x0000_i1026" o:spt="75" type="#_x0000_t75" style="height:37.8pt;width:113.45pt;" o:ole="t" filled="f" o:preferrelative="t" stroked="f" coordsize="21600,21600">
                  <v:path/>
                  <v:fill on="f" focussize="0,0"/>
                  <v:stroke on="f"/>
                  <v:imagedata r:id="rId12" o:title=""/>
                  <o:lock v:ext="edit" aspectratio="t"/>
                  <w10:wrap type="none"/>
                  <w10:anchorlock/>
                </v:shape>
                <o:OLEObject Type="Embed" ProgID="Package" ShapeID="_x0000_i1026" DrawAspect="Content" ObjectID="_1468075726" r:id="rId11">
                  <o:LockedField>false</o:LockedField>
                </o:OLEObject>
              </w:object>
            </w:r>
          </w:p>
          <w:p>
            <w:pPr>
              <w:snapToGrid w:val="0"/>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5、查20</w:t>
            </w:r>
            <w:r>
              <w:rPr>
                <w:rFonts w:hint="eastAsia" w:ascii="宋体" w:hAnsi="宋体" w:eastAsia="宋体" w:cs="宋体"/>
                <w:color w:val="000000"/>
                <w:sz w:val="21"/>
                <w:szCs w:val="21"/>
                <w:lang w:val="en-US" w:eastAsia="zh-CN"/>
              </w:rPr>
              <w:t>2</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年度用于环保和职业健康安全的资金投入约</w:t>
            </w:r>
            <w:r>
              <w:rPr>
                <w:rFonts w:hint="eastAsia" w:ascii="宋体" w:hAnsi="宋体" w:cs="宋体"/>
                <w:color w:val="000000"/>
                <w:sz w:val="21"/>
                <w:szCs w:val="21"/>
                <w:lang w:val="en-US" w:eastAsia="zh-CN"/>
              </w:rPr>
              <w:t>18200</w:t>
            </w:r>
            <w:r>
              <w:rPr>
                <w:rFonts w:hint="eastAsia" w:ascii="宋体" w:hAnsi="宋体" w:eastAsia="宋体" w:cs="宋体"/>
                <w:color w:val="000000"/>
                <w:sz w:val="21"/>
                <w:szCs w:val="21"/>
              </w:rPr>
              <w:t>元，主要是培训教育、劳保用品、保险、</w:t>
            </w:r>
            <w:r>
              <w:rPr>
                <w:rFonts w:hint="eastAsia" w:ascii="宋体" w:hAnsi="宋体" w:cs="宋体"/>
                <w:color w:val="000000"/>
                <w:sz w:val="21"/>
                <w:szCs w:val="21"/>
                <w:lang w:val="en-US" w:eastAsia="zh-CN"/>
              </w:rPr>
              <w:t>体检、</w:t>
            </w:r>
            <w:r>
              <w:rPr>
                <w:rFonts w:hint="eastAsia" w:ascii="宋体" w:hAnsi="宋体" w:eastAsia="宋体" w:cs="宋体"/>
                <w:color w:val="000000"/>
                <w:sz w:val="21"/>
                <w:szCs w:val="21"/>
              </w:rPr>
              <w:t>消防器材等。</w:t>
            </w:r>
          </w:p>
          <w:p>
            <w:pPr>
              <w:snapToGrid w:val="0"/>
              <w:spacing w:line="360" w:lineRule="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6、查到20</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年</w:t>
            </w:r>
            <w:r>
              <w:rPr>
                <w:rFonts w:hint="eastAsia" w:ascii="宋体" w:hAnsi="宋体" w:cs="宋体"/>
                <w:color w:val="000000"/>
                <w:sz w:val="21"/>
                <w:szCs w:val="21"/>
                <w:lang w:val="en-US" w:eastAsia="zh-CN"/>
              </w:rPr>
              <w:t>12</w:t>
            </w:r>
            <w:r>
              <w:rPr>
                <w:rFonts w:hint="eastAsia" w:ascii="宋体" w:hAnsi="宋体" w:eastAsia="宋体" w:cs="宋体"/>
                <w:color w:val="000000"/>
                <w:sz w:val="21"/>
                <w:szCs w:val="21"/>
              </w:rPr>
              <w:t>月</w:t>
            </w:r>
            <w:r>
              <w:rPr>
                <w:rFonts w:hint="eastAsia" w:ascii="宋体" w:hAnsi="宋体" w:eastAsia="宋体" w:cs="宋体"/>
                <w:color w:val="000000"/>
                <w:sz w:val="21"/>
                <w:szCs w:val="21"/>
                <w:lang w:val="en-US" w:eastAsia="zh-CN"/>
              </w:rPr>
              <w:t>1</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lang w:val="en-US" w:eastAsia="zh-CN"/>
              </w:rPr>
              <w:t>日</w:t>
            </w:r>
            <w:r>
              <w:rPr>
                <w:rFonts w:hint="eastAsia" w:ascii="宋体" w:hAnsi="宋体" w:eastAsia="宋体" w:cs="宋体"/>
                <w:color w:val="000000"/>
                <w:sz w:val="21"/>
                <w:szCs w:val="21"/>
              </w:rPr>
              <w:t>的</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建设项目环境影响登记表</w:t>
            </w:r>
            <w:r>
              <w:rPr>
                <w:rFonts w:hint="eastAsia" w:ascii="宋体" w:hAnsi="宋体" w:eastAsia="宋体" w:cs="宋体"/>
                <w:color w:val="000000"/>
                <w:sz w:val="21"/>
                <w:szCs w:val="21"/>
                <w:lang w:eastAsia="zh-CN"/>
              </w:rPr>
              <w:t>》</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建设内容及规模：用于土工布的生产及销售,年生产能力7-8万吨。</w:t>
            </w:r>
          </w:p>
          <w:p>
            <w:pPr>
              <w:snapToGrid w:val="0"/>
              <w:spacing w:line="360" w:lineRule="auto"/>
              <w:rPr>
                <w:rFonts w:hint="eastAsia" w:ascii="宋体" w:hAnsi="宋体" w:eastAsia="宋体" w:cs="宋体"/>
                <w:b/>
                <w:bCs/>
                <w:color w:val="000000"/>
                <w:sz w:val="21"/>
                <w:szCs w:val="21"/>
              </w:rPr>
            </w:pPr>
          </w:p>
          <w:p>
            <w:pPr>
              <w:snapToGrid w:val="0"/>
              <w:spacing w:line="360" w:lineRule="auto"/>
              <w:rPr>
                <w:rFonts w:hint="eastAsia" w:ascii="宋体" w:hAnsi="宋体" w:eastAsia="宋体" w:cs="宋体"/>
                <w:color w:val="000000"/>
                <w:sz w:val="21"/>
                <w:szCs w:val="21"/>
              </w:rPr>
            </w:pPr>
          </w:p>
          <w:p>
            <w:pPr>
              <w:snapToGrid w:val="0"/>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巡视办公区、厂区：</w:t>
            </w:r>
          </w:p>
          <w:p>
            <w:pPr>
              <w:snapToGrid w:val="0"/>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企业位于</w:t>
            </w:r>
            <w:bookmarkStart w:id="0" w:name="生产地址"/>
            <w:r>
              <w:rPr>
                <w:rFonts w:hint="eastAsia" w:ascii="宋体" w:hAnsi="宋体" w:cs="宋体"/>
                <w:color w:val="000000"/>
                <w:sz w:val="21"/>
                <w:szCs w:val="21"/>
                <w:lang w:eastAsia="zh-CN"/>
              </w:rPr>
              <w:t>江苏省无锡</w:t>
            </w:r>
            <w:bookmarkStart w:id="1" w:name="办公地址"/>
            <w:r>
              <w:rPr>
                <w:rFonts w:hint="eastAsia" w:ascii="宋体" w:hAnsi="宋体" w:cs="宋体"/>
                <w:color w:val="000000"/>
                <w:sz w:val="21"/>
                <w:szCs w:val="21"/>
                <w:lang w:eastAsia="zh-CN"/>
              </w:rPr>
              <w:t>，</w:t>
            </w:r>
            <w:r>
              <w:rPr>
                <w:rFonts w:asciiTheme="minorEastAsia" w:hAnsiTheme="minorEastAsia" w:eastAsiaTheme="minorEastAsia"/>
                <w:sz w:val="20"/>
              </w:rPr>
              <w:t>宜兴市和桥镇福巷桥村</w:t>
            </w:r>
            <w:bookmarkEnd w:id="1"/>
            <w:r>
              <w:rPr>
                <w:rFonts w:hint="eastAsia" w:ascii="宋体" w:hAnsi="宋体" w:eastAsia="宋体" w:cs="宋体"/>
                <w:color w:val="000000"/>
                <w:sz w:val="21"/>
                <w:szCs w:val="21"/>
              </w:rPr>
              <w:t>、</w:t>
            </w:r>
            <w:bookmarkEnd w:id="0"/>
            <w:r>
              <w:rPr>
                <w:rFonts w:hint="eastAsia" w:ascii="宋体" w:hAnsi="宋体" w:eastAsia="宋体" w:cs="宋体"/>
                <w:color w:val="000000"/>
                <w:sz w:val="21"/>
                <w:szCs w:val="21"/>
              </w:rPr>
              <w:t>企业属于一般</w:t>
            </w:r>
            <w:r>
              <w:rPr>
                <w:rFonts w:hint="eastAsia" w:ascii="宋体" w:hAnsi="宋体" w:cs="宋体"/>
                <w:color w:val="000000"/>
                <w:sz w:val="21"/>
                <w:szCs w:val="21"/>
                <w:lang w:val="en-US" w:eastAsia="zh-CN"/>
              </w:rPr>
              <w:t>制造</w:t>
            </w:r>
            <w:r>
              <w:rPr>
                <w:rFonts w:hint="eastAsia" w:ascii="宋体" w:hAnsi="宋体" w:eastAsia="宋体" w:cs="宋体"/>
                <w:color w:val="000000"/>
                <w:sz w:val="21"/>
                <w:szCs w:val="21"/>
              </w:rPr>
              <w:t>加工行业，</w:t>
            </w:r>
            <w:r>
              <w:rPr>
                <w:rFonts w:hint="eastAsia" w:ascii="宋体" w:hAnsi="宋体" w:eastAsia="宋体" w:cs="宋体"/>
                <w:color w:val="000000"/>
                <w:sz w:val="21"/>
                <w:szCs w:val="21"/>
                <w:lang w:val="en-US" w:eastAsia="zh-CN"/>
              </w:rPr>
              <w:t>厂房为</w:t>
            </w:r>
            <w:r>
              <w:rPr>
                <w:rFonts w:hint="eastAsia" w:ascii="宋体" w:hAnsi="宋体" w:cs="宋体"/>
                <w:color w:val="000000"/>
                <w:sz w:val="21"/>
                <w:szCs w:val="21"/>
                <w:lang w:val="en-US" w:eastAsia="zh-CN"/>
              </w:rPr>
              <w:t>自家建设</w:t>
            </w:r>
            <w:r>
              <w:rPr>
                <w:rFonts w:hint="eastAsia" w:ascii="宋体" w:hAnsi="宋体" w:eastAsia="宋体" w:cs="宋体"/>
                <w:color w:val="000000"/>
                <w:sz w:val="21"/>
                <w:szCs w:val="21"/>
                <w:lang w:val="en-US" w:eastAsia="zh-CN"/>
              </w:rPr>
              <w:t>。</w:t>
            </w:r>
          </w:p>
          <w:p>
            <w:pPr>
              <w:snapToGrid w:val="0"/>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办公区卫生保持较好，管理较好，无废水乱排现象，无浪费水电现象。</w:t>
            </w:r>
          </w:p>
          <w:p>
            <w:pPr>
              <w:snapToGrid w:val="0"/>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查看各办公区域电脑，空调等办公设施齐全，用电规范，无临时线使用。</w:t>
            </w:r>
          </w:p>
          <w:p>
            <w:pPr>
              <w:snapToGrid w:val="0"/>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办公区域、配置了消防器材、粉灭火器，查看指针在绿区，有效。 </w:t>
            </w:r>
          </w:p>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办公区域均有固废分类垃圾蒌，未发现乱存放废纸、废电池、硒鼓等情况。</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编制与环境、安全体系运行控制有关的文件有《运行控制程序》、《应急准备和响应管理程序》、《安全管理程序》、《应急管理程序》、《防火管理程序》、《噪音管理程序》、《应急预案》等。</w:t>
            </w:r>
          </w:p>
          <w:p>
            <w:pPr>
              <w:spacing w:line="360" w:lineRule="auto"/>
              <w:ind w:firstLine="421"/>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依据《固定污染源排污许可分类管理名录（2019年版） (部令第11号)》，企业只需要做登记管理</w:t>
            </w:r>
            <w:r>
              <w:rPr>
                <w:rFonts w:hint="eastAsia" w:ascii="楷体" w:hAnsi="楷体" w:eastAsia="楷体" w:cs="宋体"/>
                <w:sz w:val="24"/>
                <w:szCs w:val="24"/>
                <w:lang w:val="en-US" w:eastAsia="zh-CN"/>
              </w:rPr>
              <w:drawing>
                <wp:inline distT="0" distB="0" distL="114300" distR="114300">
                  <wp:extent cx="6212840" cy="3451860"/>
                  <wp:effectExtent l="0" t="0" r="10160" b="2540"/>
                  <wp:docPr id="6" name="图片 6" descr="0acbaab8abe099704707723e5cfa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acbaab8abe099704707723e5cfa2a5"/>
                          <pic:cNvPicPr>
                            <a:picLocks noChangeAspect="1"/>
                          </pic:cNvPicPr>
                        </pic:nvPicPr>
                        <pic:blipFill>
                          <a:blip r:embed="rId13"/>
                          <a:stretch>
                            <a:fillRect/>
                          </a:stretch>
                        </pic:blipFill>
                        <pic:spPr>
                          <a:xfrm>
                            <a:off x="0" y="0"/>
                            <a:ext cx="6212840" cy="3451860"/>
                          </a:xfrm>
                          <a:prstGeom prst="rect">
                            <a:avLst/>
                          </a:prstGeom>
                        </pic:spPr>
                      </pic:pic>
                    </a:graphicData>
                  </a:graphic>
                </wp:inline>
              </w:drawing>
            </w:r>
          </w:p>
          <w:p>
            <w:pPr>
              <w:spacing w:line="360" w:lineRule="auto"/>
              <w:ind w:firstLine="421"/>
              <w:rPr>
                <w:rFonts w:hint="eastAsia" w:ascii="楷体" w:hAnsi="楷体" w:eastAsia="楷体" w:cs="宋体"/>
                <w:sz w:val="24"/>
                <w:szCs w:val="24"/>
                <w:lang w:val="en-US" w:eastAsia="zh-CN"/>
              </w:rPr>
            </w:pPr>
          </w:p>
          <w:p>
            <w:p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rPr>
              <w:t>查到了</w:t>
            </w:r>
            <w:r>
              <w:rPr>
                <w:rFonts w:hint="eastAsia" w:ascii="楷体" w:hAnsi="楷体" w:eastAsia="楷体" w:cs="宋体"/>
                <w:sz w:val="24"/>
                <w:szCs w:val="24"/>
                <w:lang w:val="en-US" w:eastAsia="zh-CN"/>
              </w:rPr>
              <w:t>企业有固定污染源排污登记表回执</w:t>
            </w:r>
          </w:p>
          <w:p>
            <w:pPr>
              <w:spacing w:line="360" w:lineRule="auto"/>
              <w:ind w:firstLine="421"/>
              <w:rPr>
                <w:rFonts w:hint="eastAsia" w:ascii="楷体" w:hAnsi="楷体" w:eastAsia="楷体" w:cs="宋体"/>
                <w:sz w:val="24"/>
                <w:szCs w:val="24"/>
                <w:lang w:val="en-US" w:eastAsia="zh-CN"/>
              </w:rPr>
            </w:pPr>
            <w:r>
              <w:rPr>
                <w:rFonts w:hint="eastAsia" w:ascii="楷体" w:hAnsi="楷体" w:eastAsia="楷体" w:cs="宋体"/>
                <w:sz w:val="24"/>
                <w:szCs w:val="24"/>
              </w:rPr>
              <w:drawing>
                <wp:inline distT="0" distB="0" distL="114300" distR="114300">
                  <wp:extent cx="6206490" cy="3403600"/>
                  <wp:effectExtent l="0" t="0" r="3810" b="0"/>
                  <wp:docPr id="7" name="图片 7" descr="6b8e781f463d26a52a54b83a6709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b8e781f463d26a52a54b83a6709dd7"/>
                          <pic:cNvPicPr>
                            <a:picLocks noChangeAspect="1"/>
                          </pic:cNvPicPr>
                        </pic:nvPicPr>
                        <pic:blipFill>
                          <a:blip r:embed="rId14"/>
                          <a:stretch>
                            <a:fillRect/>
                          </a:stretch>
                        </pic:blipFill>
                        <pic:spPr>
                          <a:xfrm>
                            <a:off x="0" y="0"/>
                            <a:ext cx="6206490" cy="3403600"/>
                          </a:xfrm>
                          <a:prstGeom prst="rect">
                            <a:avLst/>
                          </a:prstGeom>
                        </pic:spPr>
                      </pic:pic>
                    </a:graphicData>
                  </a:graphic>
                </wp:inline>
              </w:drawing>
            </w:r>
            <w:r>
              <w:rPr>
                <w:rFonts w:hint="eastAsia" w:ascii="楷体" w:hAnsi="楷体" w:eastAsia="楷体" w:cs="宋体"/>
                <w:sz w:val="24"/>
                <w:szCs w:val="24"/>
                <w:lang w:val="en-US" w:eastAsia="zh-CN"/>
              </w:rPr>
              <w:t>依据《建设项目环境影响评价分类管理名录（2021年版）》，</w:t>
            </w:r>
          </w:p>
          <w:p>
            <w:pPr>
              <w:pStyle w:val="2"/>
              <w:rPr>
                <w:rFonts w:hint="eastAsia"/>
                <w:lang w:val="en-US" w:eastAsia="zh-CN"/>
              </w:rPr>
            </w:pPr>
            <w:r>
              <w:rPr>
                <w:rFonts w:hint="eastAsia"/>
                <w:lang w:val="en-US" w:eastAsia="zh-CN"/>
              </w:rPr>
              <w:drawing>
                <wp:inline distT="0" distB="0" distL="114300" distR="114300">
                  <wp:extent cx="6205855" cy="2779395"/>
                  <wp:effectExtent l="0" t="0" r="4445" b="1905"/>
                  <wp:docPr id="8" name="图片 8" descr="f615f7f74554cd0f1bbfc0b95691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615f7f74554cd0f1bbfc0b956912a8"/>
                          <pic:cNvPicPr>
                            <a:picLocks noChangeAspect="1"/>
                          </pic:cNvPicPr>
                        </pic:nvPicPr>
                        <pic:blipFill>
                          <a:blip r:embed="rId15"/>
                          <a:stretch>
                            <a:fillRect/>
                          </a:stretch>
                        </pic:blipFill>
                        <pic:spPr>
                          <a:xfrm>
                            <a:off x="0" y="0"/>
                            <a:ext cx="6205855" cy="2779395"/>
                          </a:xfrm>
                          <a:prstGeom prst="rect">
                            <a:avLst/>
                          </a:prstGeom>
                        </pic:spPr>
                      </pic:pic>
                    </a:graphicData>
                  </a:graphic>
                </wp:inline>
              </w:drawing>
            </w:r>
          </w:p>
          <w:p>
            <w:pPr>
              <w:spacing w:line="360" w:lineRule="auto"/>
              <w:ind w:firstLine="421"/>
              <w:rPr>
                <w:rFonts w:hint="eastAsia"/>
              </w:rPr>
            </w:pPr>
            <w:r>
              <w:rPr>
                <w:rFonts w:hint="eastAsia" w:ascii="楷体" w:hAnsi="楷体" w:eastAsia="楷体" w:cs="宋体"/>
                <w:sz w:val="24"/>
                <w:szCs w:val="24"/>
                <w:lang w:val="en-US" w:eastAsia="zh-CN"/>
              </w:rPr>
              <w:t>企业需做环境影响登记表，查看《塑料制品塑料编织绳、带、布、袋、集装袋、土工布、吹塑膜、注塑件的制造、加工》编制日期：2010.4.14</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部门运行控制基本符合规定要求。</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应急准备和响应</w:t>
            </w:r>
          </w:p>
        </w:tc>
        <w:tc>
          <w:tcPr>
            <w:tcW w:w="1311" w:type="dxa"/>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z w:val="21"/>
                <w:szCs w:val="21"/>
                <w:lang w:val="en-US" w:eastAsia="zh-CN"/>
              </w:rPr>
              <w:t>O</w:t>
            </w:r>
            <w:r>
              <w:rPr>
                <w:rFonts w:hint="eastAsia" w:ascii="宋体" w:hAnsi="宋体" w:eastAsia="宋体" w:cs="宋体"/>
                <w:sz w:val="21"/>
                <w:szCs w:val="21"/>
              </w:rPr>
              <w:t>8.2</w:t>
            </w:r>
          </w:p>
          <w:p>
            <w:pPr>
              <w:spacing w:line="360" w:lineRule="auto"/>
              <w:rPr>
                <w:rFonts w:hint="eastAsia" w:ascii="宋体" w:hAnsi="宋体" w:eastAsia="宋体" w:cs="宋体"/>
                <w:sz w:val="21"/>
                <w:szCs w:val="21"/>
              </w:rPr>
            </w:pPr>
          </w:p>
        </w:tc>
        <w:tc>
          <w:tcPr>
            <w:tcW w:w="10455" w:type="dxa"/>
            <w:vAlign w:val="center"/>
          </w:tcPr>
          <w:p>
            <w:pPr>
              <w:tabs>
                <w:tab w:val="left" w:pos="6597"/>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编制了《应急准备和响应控制程序</w:t>
            </w:r>
            <w:r>
              <w:rPr>
                <w:rFonts w:hint="eastAsia" w:ascii="宋体" w:hAnsi="宋体" w:eastAsia="宋体" w:cs="宋体"/>
                <w:bCs/>
                <w:sz w:val="21"/>
                <w:szCs w:val="21"/>
              </w:rPr>
              <w:t>》，确定的紧急情况有：火灾、触电等。</w:t>
            </w:r>
            <w:r>
              <w:rPr>
                <w:rFonts w:hint="eastAsia" w:ascii="宋体" w:hAnsi="宋体" w:eastAsia="宋体" w:cs="宋体"/>
                <w:sz w:val="21"/>
                <w:szCs w:val="21"/>
              </w:rPr>
              <w:t>提供了应急预案，其中包括目的、适用范围、职责、应急处理细则、演习、必备资料等，相关内容基本充分。</w:t>
            </w:r>
          </w:p>
          <w:p>
            <w:pPr>
              <w:tabs>
                <w:tab w:val="left" w:pos="6597"/>
              </w:tabs>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应急设施配置：在院内、办公场所内、车间内、仓库内均配备了灭火器、消防栓等消防设施，状态有效。</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查20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1</w:t>
            </w:r>
            <w:r>
              <w:rPr>
                <w:rFonts w:hint="eastAsia" w:ascii="宋体" w:hAnsi="宋体" w:eastAsia="宋体" w:cs="宋体"/>
                <w:sz w:val="21"/>
                <w:szCs w:val="21"/>
              </w:rPr>
              <w:t>.</w:t>
            </w:r>
            <w:r>
              <w:rPr>
                <w:rFonts w:hint="eastAsia" w:ascii="宋体" w:hAnsi="宋体" w:cs="宋体"/>
                <w:sz w:val="21"/>
                <w:szCs w:val="21"/>
                <w:lang w:val="en-US" w:eastAsia="zh-CN"/>
              </w:rPr>
              <w:t>7.2</w:t>
            </w:r>
            <w:r>
              <w:rPr>
                <w:rFonts w:hint="eastAsia" w:ascii="宋体" w:hAnsi="宋体" w:eastAsia="宋体" w:cs="宋体"/>
                <w:sz w:val="21"/>
                <w:szCs w:val="21"/>
              </w:rPr>
              <w:t>8日的《火灾应急预案演练记录》，演练地点：车间；参加人员各岗位人员；记录演练过程、急救措施等内容。演练后对应急预案进行了评审，此次演练基本完成了任务，提高了公司全体员工的应急反应能力。评审人员</w:t>
            </w:r>
            <w:r>
              <w:rPr>
                <w:rFonts w:hint="eastAsia" w:ascii="宋体" w:hAnsi="宋体" w:cs="宋体"/>
                <w:sz w:val="21"/>
                <w:szCs w:val="21"/>
                <w:lang w:val="en-US" w:eastAsia="zh-CN"/>
              </w:rPr>
              <w:t>潘朦芝、潘立红</w:t>
            </w:r>
            <w:r>
              <w:rPr>
                <w:rFonts w:hint="eastAsia" w:ascii="宋体" w:hAnsi="宋体" w:eastAsia="宋体" w:cs="宋体"/>
                <w:sz w:val="21"/>
                <w:szCs w:val="21"/>
              </w:rPr>
              <w:t>等。</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查到应急准备和响应《目标指标方案检查记录》，检查内容：当紧急情况发生时，有关信息如何上报，本部门的应急应变小组成员是否培训和演练，自救与互救能力，灭火器使用，防护用具的使用，应急响应程序是否清楚等，对</w:t>
            </w:r>
            <w:r>
              <w:rPr>
                <w:rFonts w:hint="eastAsia" w:ascii="宋体" w:hAnsi="宋体" w:cs="宋体"/>
                <w:sz w:val="21"/>
                <w:szCs w:val="21"/>
                <w:lang w:eastAsia="zh-CN"/>
              </w:rPr>
              <w:t>综合部</w:t>
            </w:r>
            <w:r>
              <w:rPr>
                <w:rFonts w:hint="eastAsia" w:ascii="宋体" w:hAnsi="宋体" w:eastAsia="宋体" w:cs="宋体"/>
                <w:sz w:val="21"/>
                <w:szCs w:val="21"/>
              </w:rPr>
              <w:t>、生产区，仓库进行了检查，符合要求。</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自体系运行以来尚未发生紧急情况。</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p>
            <w:pPr>
              <w:spacing w:line="360" w:lineRule="auto"/>
              <w:rPr>
                <w:rFonts w:hint="eastAsia" w:ascii="宋体" w:hAnsi="宋体" w:eastAsia="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spacing w:line="360" w:lineRule="auto"/>
              <w:rPr>
                <w:rFonts w:hint="eastAsia" w:ascii="宋体" w:hAnsi="宋体" w:eastAsia="宋体" w:cs="宋体"/>
                <w:sz w:val="21"/>
                <w:szCs w:val="21"/>
              </w:rPr>
            </w:pPr>
            <w:r>
              <w:rPr>
                <w:rFonts w:hint="eastAsia" w:ascii="宋体" w:hAnsi="宋体" w:cs="新宋体"/>
                <w:sz w:val="18"/>
                <w:szCs w:val="18"/>
              </w:rPr>
              <w:t>内部审核</w:t>
            </w:r>
          </w:p>
        </w:tc>
        <w:tc>
          <w:tcPr>
            <w:tcW w:w="1311" w:type="dxa"/>
            <w:vAlign w:val="center"/>
          </w:tcPr>
          <w:p>
            <w:pPr>
              <w:spacing w:line="360" w:lineRule="auto"/>
              <w:rPr>
                <w:rFonts w:hint="eastAsia" w:ascii="宋体" w:hAnsi="宋体" w:eastAsia="宋体" w:cs="宋体"/>
                <w:sz w:val="21"/>
                <w:szCs w:val="21"/>
              </w:rPr>
            </w:pPr>
            <w:r>
              <w:rPr>
                <w:rFonts w:hint="eastAsia" w:ascii="宋体" w:hAnsi="宋体" w:cs="新宋体"/>
                <w:sz w:val="18"/>
                <w:szCs w:val="18"/>
                <w:lang w:val="en-US" w:eastAsia="zh-CN"/>
              </w:rPr>
              <w:t>EO</w:t>
            </w:r>
            <w:r>
              <w:rPr>
                <w:rFonts w:hint="eastAsia" w:ascii="宋体" w:hAnsi="宋体" w:cs="新宋体"/>
                <w:sz w:val="18"/>
                <w:szCs w:val="18"/>
              </w:rPr>
              <w:t>9.2</w:t>
            </w:r>
          </w:p>
        </w:tc>
        <w:tc>
          <w:tcPr>
            <w:tcW w:w="10455" w:type="dxa"/>
            <w:vAlign w:val="center"/>
          </w:tcPr>
          <w:p>
            <w:pPr>
              <w:pStyle w:val="10"/>
              <w:spacing w:beforeLines="30" w:afterLines="30" w:line="288" w:lineRule="auto"/>
              <w:ind w:firstLine="480"/>
              <w:rPr>
                <w:rFonts w:hint="eastAsia" w:ascii="Times New Roman" w:cs="Times New Roman" w:hAnsiTheme="minorEastAsia" w:eastAsiaTheme="minorEastAsia"/>
                <w:color w:val="auto"/>
                <w:sz w:val="21"/>
                <w:szCs w:val="21"/>
              </w:rPr>
            </w:pPr>
            <w:r>
              <w:rPr>
                <w:rFonts w:hint="eastAsia" w:ascii="Times New Roman" w:cs="Times New Roman" w:hAnsiTheme="minorEastAsia" w:eastAsiaTheme="minorEastAsia"/>
                <w:color w:val="auto"/>
                <w:sz w:val="21"/>
                <w:szCs w:val="21"/>
              </w:rPr>
              <w:t>公司制定《内部审核控制程序》，对内部审核方案策划规定：内审每年进行一次，按部门/过程审核。</w:t>
            </w:r>
          </w:p>
          <w:p>
            <w:pPr>
              <w:pStyle w:val="10"/>
              <w:spacing w:beforeLines="30" w:afterLines="30" w:line="288" w:lineRule="auto"/>
              <w:ind w:firstLine="480"/>
              <w:rPr>
                <w:rFonts w:hint="eastAsia" w:ascii="Times New Roman" w:cs="Times New Roman" w:hAnsiTheme="minorEastAsia" w:eastAsiaTheme="minorEastAsia"/>
                <w:color w:val="auto"/>
                <w:sz w:val="21"/>
                <w:szCs w:val="21"/>
              </w:rPr>
            </w:pPr>
            <w:r>
              <w:rPr>
                <w:rFonts w:hint="eastAsia" w:ascii="Times New Roman" w:cs="Times New Roman" w:hAnsiTheme="minorEastAsia" w:eastAsiaTheme="minorEastAsia"/>
                <w:color w:val="auto"/>
                <w:sz w:val="21"/>
                <w:szCs w:val="21"/>
              </w:rPr>
              <w:t>管代介绍内审的安排和做法，与程序文件“内部审核控制程序”相符。</w:t>
            </w:r>
            <w:r>
              <w:rPr>
                <w:rFonts w:hint="eastAsia" w:ascii="Times New Roman" w:cs="Times New Roman" w:hAnsiTheme="minorEastAsia" w:eastAsiaTheme="minorEastAsia"/>
                <w:color w:val="auto"/>
                <w:sz w:val="21"/>
                <w:szCs w:val="21"/>
              </w:rPr>
              <w:br w:type="textWrapping"/>
            </w:r>
            <w:r>
              <w:rPr>
                <w:rFonts w:hint="eastAsia" w:ascii="Times New Roman" w:cs="Times New Roman" w:hAnsiTheme="minorEastAsia" w:eastAsiaTheme="minorEastAsia"/>
                <w:color w:val="auto"/>
                <w:sz w:val="21"/>
                <w:szCs w:val="21"/>
              </w:rPr>
              <w:t>查最近一次内审记录：20</w:t>
            </w:r>
            <w:r>
              <w:rPr>
                <w:rFonts w:hint="eastAsia" w:ascii="Times New Roman" w:cs="Times New Roman" w:hAnsiTheme="minorEastAsia" w:eastAsiaTheme="minorEastAsia"/>
                <w:color w:val="auto"/>
                <w:sz w:val="21"/>
                <w:szCs w:val="21"/>
                <w:lang w:val="en-US" w:eastAsia="zh-CN"/>
              </w:rPr>
              <w:t>21</w:t>
            </w:r>
            <w:r>
              <w:rPr>
                <w:rFonts w:hint="eastAsia" w:ascii="Times New Roman" w:cs="Times New Roman" w:hAnsiTheme="minorEastAsia" w:eastAsiaTheme="minorEastAsia"/>
                <w:color w:val="auto"/>
                <w:sz w:val="21"/>
                <w:szCs w:val="21"/>
              </w:rPr>
              <w:t>.</w:t>
            </w:r>
            <w:r>
              <w:rPr>
                <w:rFonts w:hint="eastAsia" w:ascii="Times New Roman" w:cs="Times New Roman" w:hAnsiTheme="minorEastAsia" w:eastAsiaTheme="minorEastAsia"/>
                <w:color w:val="auto"/>
                <w:sz w:val="21"/>
                <w:szCs w:val="21"/>
                <w:lang w:val="en-US" w:eastAsia="zh-CN"/>
              </w:rPr>
              <w:t>8</w:t>
            </w:r>
            <w:r>
              <w:rPr>
                <w:rFonts w:hint="eastAsia" w:ascii="Times New Roman" w:cs="Times New Roman" w:hAnsiTheme="minorEastAsia" w:eastAsiaTheme="minorEastAsia"/>
                <w:color w:val="auto"/>
                <w:sz w:val="21"/>
                <w:szCs w:val="21"/>
              </w:rPr>
              <w:t>.</w:t>
            </w:r>
            <w:r>
              <w:rPr>
                <w:rFonts w:hint="eastAsia" w:ascii="Times New Roman" w:cs="Times New Roman" w:hAnsiTheme="minorEastAsia" w:eastAsiaTheme="minorEastAsia"/>
                <w:color w:val="auto"/>
                <w:sz w:val="21"/>
                <w:szCs w:val="21"/>
                <w:lang w:val="en-US" w:eastAsia="zh-CN"/>
              </w:rPr>
              <w:t>2</w:t>
            </w:r>
            <w:r>
              <w:rPr>
                <w:rFonts w:hint="eastAsia" w:ascii="Times New Roman" w:cs="Times New Roman" w:hAnsiTheme="minorEastAsia" w:eastAsiaTheme="minorEastAsia"/>
                <w:color w:val="auto"/>
                <w:sz w:val="21"/>
                <w:szCs w:val="21"/>
              </w:rPr>
              <w:t>-</w:t>
            </w:r>
            <w:r>
              <w:rPr>
                <w:rFonts w:hint="eastAsia" w:ascii="Times New Roman" w:cs="Times New Roman" w:hAnsiTheme="minorEastAsia" w:eastAsiaTheme="minorEastAsia"/>
                <w:color w:val="auto"/>
                <w:sz w:val="21"/>
                <w:szCs w:val="21"/>
                <w:lang w:val="en-US" w:eastAsia="zh-CN"/>
              </w:rPr>
              <w:t>8.3日</w:t>
            </w:r>
            <w:r>
              <w:rPr>
                <w:rFonts w:hint="eastAsia" w:ascii="Times New Roman" w:cs="Times New Roman" w:hAnsiTheme="minorEastAsia" w:eastAsiaTheme="minorEastAsia"/>
                <w:color w:val="auto"/>
                <w:sz w:val="21"/>
                <w:szCs w:val="21"/>
              </w:rPr>
              <w:t>进行，组长</w:t>
            </w:r>
            <w:r>
              <w:rPr>
                <w:rFonts w:hint="eastAsia" w:ascii="Times New Roman" w:cs="Times New Roman" w:hAnsiTheme="minorEastAsia" w:eastAsiaTheme="minorEastAsia"/>
                <w:color w:val="auto"/>
                <w:sz w:val="21"/>
                <w:szCs w:val="21"/>
                <w:lang w:val="en-US" w:eastAsia="zh-CN"/>
              </w:rPr>
              <w:t>潘朦芝</w:t>
            </w:r>
            <w:r>
              <w:rPr>
                <w:rFonts w:hint="eastAsia" w:ascii="Times New Roman" w:cs="Times New Roman" w:hAnsiTheme="minorEastAsia" w:eastAsiaTheme="minorEastAsia"/>
                <w:color w:val="auto"/>
                <w:sz w:val="21"/>
                <w:szCs w:val="21"/>
              </w:rPr>
              <w:t>，内审员:</w:t>
            </w:r>
            <w:r>
              <w:rPr>
                <w:rFonts w:hint="eastAsia" w:ascii="Times New Roman" w:cs="Times New Roman" w:hAnsiTheme="minorEastAsia" w:eastAsiaTheme="minorEastAsia"/>
                <w:color w:val="auto"/>
                <w:sz w:val="21"/>
                <w:szCs w:val="21"/>
                <w:lang w:val="en-US" w:eastAsia="zh-CN"/>
              </w:rPr>
              <w:t>潘俊杰</w:t>
            </w:r>
            <w:r>
              <w:rPr>
                <w:rFonts w:hint="eastAsia" w:ascii="Times New Roman" w:cs="Times New Roman" w:hAnsiTheme="minorEastAsia" w:eastAsiaTheme="minorEastAsia"/>
                <w:color w:val="auto"/>
                <w:sz w:val="21"/>
                <w:szCs w:val="21"/>
              </w:rPr>
              <w:t>，经过培训，并经总经理任命。</w:t>
            </w:r>
            <w:r>
              <w:rPr>
                <w:rFonts w:hint="eastAsia" w:ascii="Times New Roman" w:cs="Times New Roman" w:hAnsiTheme="minorEastAsia" w:eastAsiaTheme="minorEastAsia"/>
                <w:color w:val="auto"/>
                <w:sz w:val="21"/>
                <w:szCs w:val="21"/>
              </w:rPr>
              <w:br w:type="textWrapping"/>
            </w:r>
            <w:r>
              <w:rPr>
                <w:rFonts w:hint="eastAsia" w:ascii="Times New Roman" w:cs="Times New Roman" w:hAnsiTheme="minorEastAsia" w:eastAsiaTheme="minorEastAsia"/>
                <w:color w:val="auto"/>
                <w:sz w:val="21"/>
                <w:szCs w:val="21"/>
              </w:rPr>
              <w:t xml:space="preserve">    查内审计划，涉及了所有部门及相关过程。计划编制合理，无漏条款现象。</w:t>
            </w:r>
          </w:p>
          <w:p>
            <w:pPr>
              <w:spacing w:line="340" w:lineRule="exact"/>
              <w:rPr>
                <w:rFonts w:hint="default" w:ascii="宋体" w:hAnsi="宋体" w:eastAsia="宋体"/>
                <w:color w:val="000000"/>
                <w:szCs w:val="21"/>
                <w:lang w:val="en-US" w:eastAsia="zh-CN"/>
              </w:rPr>
            </w:pPr>
            <w:r>
              <w:rPr>
                <w:rFonts w:hint="eastAsia" w:ascii="Times New Roman" w:cs="Times New Roman" w:hAnsiTheme="minorEastAsia" w:eastAsiaTheme="minorEastAsia"/>
                <w:color w:val="auto"/>
                <w:sz w:val="21"/>
                <w:szCs w:val="21"/>
              </w:rPr>
              <w:t>抽</w:t>
            </w:r>
            <w:r>
              <w:rPr>
                <w:rFonts w:hint="eastAsia" w:ascii="Times New Roman" w:cs="Times New Roman" w:hAnsiTheme="minorEastAsia" w:eastAsiaTheme="minorEastAsia"/>
                <w:color w:val="auto"/>
                <w:sz w:val="21"/>
                <w:szCs w:val="21"/>
                <w:lang w:val="en-US" w:eastAsia="zh-CN"/>
              </w:rPr>
              <w:t>综合部</w:t>
            </w:r>
            <w:r>
              <w:rPr>
                <w:rFonts w:hint="eastAsia" w:ascii="Times New Roman" w:cs="Times New Roman" w:hAnsiTheme="minorEastAsia" w:eastAsiaTheme="minorEastAsia"/>
                <w:color w:val="auto"/>
                <w:sz w:val="21"/>
                <w:szCs w:val="21"/>
              </w:rPr>
              <w:t>：</w:t>
            </w:r>
            <w:r>
              <w:rPr>
                <w:rFonts w:hint="eastAsia" w:cs="Times New Roman" w:hAnsiTheme="minorEastAsia" w:eastAsiaTheme="minorEastAsia"/>
                <w:color w:val="auto"/>
                <w:sz w:val="21"/>
                <w:szCs w:val="21"/>
                <w:lang w:val="en-US" w:eastAsia="zh-CN"/>
              </w:rPr>
              <w:t>E:</w:t>
            </w:r>
            <w:r>
              <w:rPr>
                <w:rFonts w:hint="eastAsia" w:ascii="宋体" w:hAnsi="宋体"/>
                <w:color w:val="000000"/>
                <w:szCs w:val="21"/>
                <w:lang w:val="en-US" w:eastAsia="zh-CN"/>
              </w:rPr>
              <w:t>5.3，6.1.1，6.1.2，6.2,</w:t>
            </w:r>
            <w:r>
              <w:rPr>
                <w:rFonts w:hint="eastAsia" w:ascii="宋体" w:hAnsi="宋体"/>
                <w:color w:val="000000"/>
                <w:szCs w:val="21"/>
              </w:rPr>
              <w:t>7.1,7.2，7.3,7.4,7.5,</w:t>
            </w:r>
            <w:r>
              <w:rPr>
                <w:rFonts w:hint="eastAsia" w:ascii="宋体" w:hAnsi="宋体"/>
                <w:color w:val="000000"/>
                <w:szCs w:val="21"/>
                <w:lang w:val="en-US" w:eastAsia="zh-CN"/>
              </w:rPr>
              <w:t>7.5.2，7.5.3，</w:t>
            </w:r>
            <w:r>
              <w:rPr>
                <w:rFonts w:hint="eastAsia" w:ascii="宋体" w:hAnsi="宋体"/>
                <w:color w:val="000000"/>
                <w:szCs w:val="21"/>
              </w:rPr>
              <w:t>8.1</w:t>
            </w:r>
            <w:r>
              <w:rPr>
                <w:rFonts w:hint="eastAsia" w:ascii="宋体" w:hAnsi="宋体"/>
                <w:color w:val="000000"/>
                <w:szCs w:val="21"/>
                <w:lang w:val="en-US" w:eastAsia="zh-CN"/>
              </w:rPr>
              <w:t>,8.2，9.1.1，9.1.2，9.2，10.1</w:t>
            </w:r>
          </w:p>
          <w:p>
            <w:pPr>
              <w:pStyle w:val="10"/>
              <w:spacing w:beforeLines="30" w:afterLines="30" w:line="288" w:lineRule="auto"/>
              <w:ind w:firstLine="480"/>
              <w:rPr>
                <w:rFonts w:hint="eastAsia" w:ascii="Times New Roman" w:cs="Times New Roman" w:hAnsiTheme="minorEastAsia" w:eastAsiaTheme="minorEastAsia"/>
                <w:color w:val="auto"/>
                <w:sz w:val="21"/>
                <w:szCs w:val="21"/>
              </w:rPr>
            </w:pPr>
            <w:r>
              <w:rPr>
                <w:rFonts w:hint="eastAsia" w:ascii="宋体" w:hAnsi="宋体"/>
                <w:b w:val="0"/>
                <w:bCs w:val="0"/>
                <w:sz w:val="22"/>
                <w:szCs w:val="22"/>
                <w:lang w:val="en-US" w:eastAsia="zh-CN"/>
              </w:rPr>
              <w:t>O</w:t>
            </w:r>
            <w:r>
              <w:rPr>
                <w:rFonts w:hint="eastAsia" w:ascii="宋体" w:hAnsi="宋体"/>
                <w:b w:val="0"/>
                <w:bCs w:val="0"/>
                <w:sz w:val="22"/>
                <w:szCs w:val="22"/>
              </w:rPr>
              <w:t>:5.3</w:t>
            </w:r>
            <w:r>
              <w:rPr>
                <w:rFonts w:hint="eastAsia" w:ascii="宋体" w:hAnsi="宋体"/>
                <w:b w:val="0"/>
                <w:bCs w:val="0"/>
                <w:sz w:val="22"/>
                <w:szCs w:val="22"/>
                <w:lang w:eastAsia="zh-CN"/>
              </w:rPr>
              <w:t>，</w:t>
            </w:r>
            <w:r>
              <w:rPr>
                <w:rFonts w:hint="eastAsia" w:ascii="宋体" w:hAnsi="宋体"/>
                <w:b w:val="0"/>
                <w:bCs w:val="0"/>
                <w:sz w:val="22"/>
                <w:szCs w:val="22"/>
                <w:lang w:val="en-US" w:eastAsia="zh-CN"/>
              </w:rPr>
              <w:t>5.4，6.1.1，</w:t>
            </w:r>
            <w:r>
              <w:rPr>
                <w:rFonts w:hint="eastAsia" w:ascii="宋体" w:hAnsi="宋体"/>
                <w:b w:val="0"/>
                <w:bCs w:val="0"/>
                <w:sz w:val="22"/>
                <w:szCs w:val="22"/>
              </w:rPr>
              <w:t>6.1.2</w:t>
            </w:r>
            <w:r>
              <w:rPr>
                <w:rFonts w:hint="eastAsia" w:ascii="宋体" w:hAnsi="宋体"/>
                <w:b w:val="0"/>
                <w:bCs w:val="0"/>
                <w:sz w:val="22"/>
                <w:szCs w:val="22"/>
                <w:lang w:eastAsia="zh-CN"/>
              </w:rPr>
              <w:t>，</w:t>
            </w:r>
            <w:r>
              <w:rPr>
                <w:rFonts w:hint="eastAsia" w:ascii="宋体" w:hAnsi="宋体"/>
                <w:b w:val="0"/>
                <w:bCs w:val="0"/>
                <w:sz w:val="22"/>
                <w:szCs w:val="22"/>
              </w:rPr>
              <w:t>6.1.3</w:t>
            </w:r>
            <w:r>
              <w:rPr>
                <w:rFonts w:hint="eastAsia" w:ascii="宋体" w:hAnsi="宋体"/>
                <w:b w:val="0"/>
                <w:bCs w:val="0"/>
                <w:sz w:val="22"/>
                <w:szCs w:val="22"/>
                <w:lang w:eastAsia="zh-CN"/>
              </w:rPr>
              <w:t>，</w:t>
            </w:r>
            <w:r>
              <w:rPr>
                <w:rFonts w:hint="eastAsia" w:ascii="宋体" w:hAnsi="宋体"/>
                <w:b w:val="0"/>
                <w:bCs w:val="0"/>
                <w:sz w:val="22"/>
                <w:szCs w:val="22"/>
                <w:lang w:val="en-US" w:eastAsia="zh-CN"/>
              </w:rPr>
              <w:t>6.2.2，8.1.3，</w:t>
            </w:r>
            <w:r>
              <w:rPr>
                <w:rFonts w:hint="eastAsia" w:ascii="宋体" w:hAnsi="宋体"/>
                <w:b w:val="0"/>
                <w:bCs w:val="0"/>
                <w:sz w:val="22"/>
                <w:szCs w:val="22"/>
              </w:rPr>
              <w:t>7.1</w:t>
            </w:r>
            <w:r>
              <w:rPr>
                <w:rFonts w:hint="eastAsia" w:ascii="宋体" w:hAnsi="宋体"/>
                <w:b w:val="0"/>
                <w:bCs w:val="0"/>
                <w:sz w:val="22"/>
                <w:szCs w:val="22"/>
                <w:lang w:eastAsia="zh-CN"/>
              </w:rPr>
              <w:t>，</w:t>
            </w:r>
            <w:r>
              <w:rPr>
                <w:rFonts w:hint="eastAsia" w:ascii="宋体" w:hAnsi="宋体"/>
                <w:b w:val="0"/>
                <w:bCs w:val="0"/>
                <w:sz w:val="22"/>
                <w:szCs w:val="22"/>
              </w:rPr>
              <w:t>7.2</w:t>
            </w:r>
            <w:r>
              <w:rPr>
                <w:rFonts w:hint="eastAsia" w:ascii="宋体" w:hAnsi="宋体"/>
                <w:b w:val="0"/>
                <w:bCs w:val="0"/>
                <w:sz w:val="22"/>
                <w:szCs w:val="22"/>
                <w:lang w:eastAsia="zh-CN"/>
              </w:rPr>
              <w:t>，</w:t>
            </w:r>
            <w:r>
              <w:rPr>
                <w:rFonts w:hint="eastAsia" w:ascii="宋体" w:hAnsi="宋体"/>
                <w:b w:val="0"/>
                <w:bCs w:val="0"/>
                <w:sz w:val="22"/>
                <w:szCs w:val="22"/>
              </w:rPr>
              <w:t>7.3</w:t>
            </w:r>
            <w:r>
              <w:rPr>
                <w:rFonts w:hint="eastAsia" w:ascii="宋体" w:hAnsi="宋体"/>
                <w:b w:val="0"/>
                <w:bCs w:val="0"/>
                <w:sz w:val="22"/>
                <w:szCs w:val="22"/>
                <w:lang w:eastAsia="zh-CN"/>
              </w:rPr>
              <w:t>，</w:t>
            </w:r>
            <w:r>
              <w:rPr>
                <w:rFonts w:hint="eastAsia" w:ascii="宋体" w:hAnsi="宋体"/>
                <w:b w:val="0"/>
                <w:bCs w:val="0"/>
                <w:sz w:val="22"/>
                <w:szCs w:val="22"/>
              </w:rPr>
              <w:t>7.4</w:t>
            </w:r>
            <w:r>
              <w:rPr>
                <w:rFonts w:hint="eastAsia" w:ascii="宋体" w:hAnsi="宋体"/>
                <w:b w:val="0"/>
                <w:bCs w:val="0"/>
                <w:sz w:val="22"/>
                <w:szCs w:val="22"/>
                <w:lang w:eastAsia="zh-CN"/>
              </w:rPr>
              <w:t>，</w:t>
            </w:r>
            <w:r>
              <w:rPr>
                <w:rFonts w:hint="eastAsia" w:ascii="宋体" w:hAnsi="宋体"/>
                <w:b w:val="0"/>
                <w:bCs w:val="0"/>
                <w:sz w:val="22"/>
                <w:szCs w:val="22"/>
              </w:rPr>
              <w:t>7.5.1</w:t>
            </w:r>
            <w:r>
              <w:rPr>
                <w:rFonts w:hint="eastAsia" w:ascii="宋体" w:hAnsi="宋体"/>
                <w:b w:val="0"/>
                <w:bCs w:val="0"/>
                <w:sz w:val="22"/>
                <w:szCs w:val="22"/>
                <w:lang w:eastAsia="zh-CN"/>
              </w:rPr>
              <w:t>，</w:t>
            </w:r>
            <w:r>
              <w:rPr>
                <w:rFonts w:hint="eastAsia" w:ascii="宋体" w:hAnsi="宋体"/>
                <w:b w:val="0"/>
                <w:bCs w:val="0"/>
                <w:sz w:val="22"/>
                <w:szCs w:val="22"/>
              </w:rPr>
              <w:t>7.5.2</w:t>
            </w:r>
            <w:r>
              <w:rPr>
                <w:rFonts w:hint="eastAsia" w:ascii="宋体" w:hAnsi="宋体"/>
                <w:b w:val="0"/>
                <w:bCs w:val="0"/>
                <w:sz w:val="22"/>
                <w:szCs w:val="22"/>
                <w:lang w:eastAsia="zh-CN"/>
              </w:rPr>
              <w:t>，</w:t>
            </w:r>
            <w:r>
              <w:rPr>
                <w:rFonts w:hint="eastAsia" w:ascii="宋体" w:hAnsi="宋体"/>
                <w:b w:val="0"/>
                <w:bCs w:val="0"/>
                <w:sz w:val="22"/>
                <w:szCs w:val="22"/>
              </w:rPr>
              <w:t>7.5.3</w:t>
            </w:r>
            <w:r>
              <w:rPr>
                <w:rFonts w:hint="eastAsia" w:ascii="宋体" w:hAnsi="宋体"/>
                <w:b w:val="0"/>
                <w:bCs w:val="0"/>
                <w:sz w:val="22"/>
                <w:szCs w:val="22"/>
                <w:lang w:eastAsia="zh-CN"/>
              </w:rPr>
              <w:t>，</w:t>
            </w:r>
            <w:r>
              <w:rPr>
                <w:rFonts w:hint="eastAsia" w:ascii="宋体" w:hAnsi="宋体"/>
                <w:b w:val="0"/>
                <w:bCs w:val="0"/>
                <w:sz w:val="22"/>
                <w:szCs w:val="22"/>
              </w:rPr>
              <w:t>8.1</w:t>
            </w:r>
            <w:r>
              <w:rPr>
                <w:rFonts w:hint="eastAsia" w:ascii="宋体" w:hAnsi="宋体"/>
                <w:b w:val="0"/>
                <w:bCs w:val="0"/>
                <w:sz w:val="22"/>
                <w:szCs w:val="22"/>
                <w:lang w:eastAsia="zh-CN"/>
              </w:rPr>
              <w:t>，</w:t>
            </w:r>
            <w:r>
              <w:rPr>
                <w:rFonts w:hint="eastAsia" w:ascii="宋体" w:hAnsi="宋体"/>
                <w:b w:val="0"/>
                <w:bCs w:val="0"/>
                <w:sz w:val="22"/>
                <w:szCs w:val="22"/>
                <w:lang w:val="en-US" w:eastAsia="zh-CN"/>
              </w:rPr>
              <w:t>8.2，</w:t>
            </w:r>
            <w:r>
              <w:rPr>
                <w:rFonts w:hint="eastAsia" w:ascii="宋体" w:hAnsi="宋体"/>
                <w:b w:val="0"/>
                <w:bCs w:val="0"/>
                <w:sz w:val="22"/>
                <w:szCs w:val="22"/>
              </w:rPr>
              <w:t>9.1.2</w:t>
            </w:r>
            <w:r>
              <w:rPr>
                <w:rFonts w:hint="eastAsia" w:ascii="宋体" w:hAnsi="宋体"/>
                <w:b w:val="0"/>
                <w:bCs w:val="0"/>
                <w:sz w:val="22"/>
                <w:szCs w:val="22"/>
                <w:lang w:val="en-US" w:eastAsia="zh-CN"/>
              </w:rPr>
              <w:t>,9.2</w:t>
            </w:r>
            <w:r>
              <w:rPr>
                <w:rFonts w:hint="eastAsia" w:ascii="Times New Roman" w:cs="Times New Roman" w:hAnsiTheme="minorEastAsia" w:eastAsiaTheme="minorEastAsia"/>
                <w:color w:val="auto"/>
                <w:sz w:val="24"/>
                <w:szCs w:val="24"/>
              </w:rPr>
              <w:t xml:space="preserve"> </w:t>
            </w:r>
            <w:r>
              <w:rPr>
                <w:rFonts w:hint="eastAsia" w:ascii="Times New Roman" w:cs="Times New Roman" w:hAnsiTheme="minorEastAsia" w:eastAsiaTheme="minorEastAsia"/>
                <w:color w:val="auto"/>
                <w:sz w:val="21"/>
                <w:szCs w:val="21"/>
              </w:rPr>
              <w:t xml:space="preserve"> 符合计划安排。审核内容基本符合规定。</w:t>
            </w:r>
            <w:r>
              <w:rPr>
                <w:rFonts w:hint="eastAsia" w:ascii="Times New Roman" w:cs="Times New Roman" w:hAnsiTheme="minorEastAsia" w:eastAsiaTheme="minorEastAsia"/>
                <w:color w:val="auto"/>
                <w:sz w:val="21"/>
                <w:szCs w:val="21"/>
              </w:rPr>
              <w:br w:type="textWrapping"/>
            </w:r>
            <w:r>
              <w:rPr>
                <w:rFonts w:hint="eastAsia" w:ascii="Times New Roman" w:cs="Times New Roman" w:hAnsiTheme="minorEastAsia" w:eastAsiaTheme="minorEastAsia"/>
                <w:color w:val="auto"/>
                <w:sz w:val="21"/>
                <w:szCs w:val="21"/>
              </w:rPr>
              <w:t>审核活动共提出1个不符合项，分别分布在生产技术部。涉及条款有</w:t>
            </w:r>
            <w:r>
              <w:rPr>
                <w:rFonts w:hint="eastAsia" w:ascii="Times New Roman" w:cs="Times New Roman" w:hAnsiTheme="minorEastAsia" w:eastAsiaTheme="minorEastAsia"/>
                <w:color w:val="auto"/>
                <w:sz w:val="21"/>
                <w:szCs w:val="21"/>
                <w:lang w:val="en-US" w:eastAsia="zh-CN"/>
              </w:rPr>
              <w:t>Q</w:t>
            </w:r>
            <w:r>
              <w:rPr>
                <w:rFonts w:hint="eastAsia" w:ascii="Times New Roman" w:cs="Times New Roman" w:hAnsiTheme="minorEastAsia" w:eastAsiaTheme="minorEastAsia"/>
                <w:color w:val="auto"/>
                <w:sz w:val="21"/>
                <w:szCs w:val="21"/>
              </w:rPr>
              <w:t>:</w:t>
            </w:r>
            <w:r>
              <w:rPr>
                <w:rFonts w:hint="eastAsia" w:ascii="Times New Roman" w:cs="Times New Roman" w:hAnsiTheme="minorEastAsia" w:eastAsiaTheme="minorEastAsia"/>
                <w:color w:val="auto"/>
                <w:sz w:val="21"/>
                <w:szCs w:val="21"/>
                <w:lang w:val="en-US" w:eastAsia="zh-CN"/>
              </w:rPr>
              <w:t>7</w:t>
            </w:r>
            <w:r>
              <w:rPr>
                <w:rFonts w:hint="eastAsia" w:ascii="Times New Roman" w:cs="Times New Roman" w:hAnsiTheme="minorEastAsia" w:eastAsiaTheme="minorEastAsia"/>
                <w:color w:val="auto"/>
                <w:sz w:val="21"/>
                <w:szCs w:val="21"/>
              </w:rPr>
              <w:t>.1.3条款；查不符合项报告。不符合项报告事实描述清楚，原因分析到位，纠正措施及其验证合理。不符合项20</w:t>
            </w:r>
            <w:r>
              <w:rPr>
                <w:rFonts w:hint="eastAsia" w:ascii="Times New Roman" w:cs="Times New Roman" w:hAnsiTheme="minorEastAsia" w:eastAsiaTheme="minorEastAsia"/>
                <w:color w:val="auto"/>
                <w:sz w:val="21"/>
                <w:szCs w:val="21"/>
                <w:lang w:val="en-US" w:eastAsia="zh-CN"/>
              </w:rPr>
              <w:t>21</w:t>
            </w:r>
            <w:r>
              <w:rPr>
                <w:rFonts w:hint="eastAsia" w:ascii="Times New Roman" w:cs="Times New Roman" w:hAnsiTheme="minorEastAsia" w:eastAsiaTheme="minorEastAsia"/>
                <w:color w:val="auto"/>
                <w:sz w:val="21"/>
                <w:szCs w:val="21"/>
              </w:rPr>
              <w:t>.</w:t>
            </w:r>
            <w:r>
              <w:rPr>
                <w:rFonts w:hint="eastAsia" w:ascii="Times New Roman" w:cs="Times New Roman" w:hAnsiTheme="minorEastAsia" w:eastAsiaTheme="minorEastAsia"/>
                <w:color w:val="auto"/>
                <w:sz w:val="21"/>
                <w:szCs w:val="21"/>
                <w:lang w:val="en-US" w:eastAsia="zh-CN"/>
              </w:rPr>
              <w:t>6</w:t>
            </w:r>
            <w:r>
              <w:rPr>
                <w:rFonts w:hint="eastAsia" w:ascii="Times New Roman" w:cs="Times New Roman" w:hAnsiTheme="minorEastAsia" w:eastAsiaTheme="minorEastAsia"/>
                <w:color w:val="auto"/>
                <w:sz w:val="21"/>
                <w:szCs w:val="21"/>
              </w:rPr>
              <w:t>.</w:t>
            </w:r>
            <w:r>
              <w:rPr>
                <w:rFonts w:hint="eastAsia" w:ascii="Times New Roman" w:cs="Times New Roman" w:hAnsiTheme="minorEastAsia" w:eastAsiaTheme="minorEastAsia"/>
                <w:color w:val="auto"/>
                <w:sz w:val="21"/>
                <w:szCs w:val="21"/>
                <w:lang w:val="en-US" w:eastAsia="zh-CN"/>
              </w:rPr>
              <w:t>11</w:t>
            </w:r>
            <w:r>
              <w:rPr>
                <w:rFonts w:hint="eastAsia" w:ascii="Times New Roman" w:cs="Times New Roman" w:hAnsiTheme="minorEastAsia" w:eastAsiaTheme="minorEastAsia"/>
                <w:color w:val="auto"/>
                <w:sz w:val="21"/>
                <w:szCs w:val="21"/>
              </w:rPr>
              <w:t>验证关闭。</w:t>
            </w:r>
          </w:p>
          <w:p>
            <w:pPr>
              <w:pStyle w:val="6"/>
              <w:spacing w:line="560" w:lineRule="exact"/>
              <w:ind w:firstLine="479"/>
              <w:rPr>
                <w:rFonts w:hint="eastAsia" w:ascii="Times New Roman" w:cs="Times New Roman" w:hAnsiTheme="minorEastAsia" w:eastAsiaTheme="minorEastAsia"/>
                <w:color w:val="auto"/>
                <w:sz w:val="21"/>
                <w:szCs w:val="21"/>
              </w:rPr>
            </w:pPr>
            <w:r>
              <w:rPr>
                <w:rFonts w:hint="eastAsia" w:ascii="Times New Roman" w:cs="Times New Roman" w:hAnsiTheme="minorEastAsia" w:eastAsiaTheme="minorEastAsia"/>
                <w:color w:val="auto"/>
                <w:sz w:val="21"/>
                <w:szCs w:val="21"/>
              </w:rPr>
              <w:t>查内审报告：</w:t>
            </w:r>
            <w:r>
              <w:rPr>
                <w:rFonts w:hint="eastAsia" w:ascii="Times New Roman" w:cs="Times New Roman" w:hAnsiTheme="minorEastAsia" w:eastAsiaTheme="minorEastAsia"/>
                <w:color w:val="auto"/>
                <w:kern w:val="2"/>
                <w:sz w:val="21"/>
                <w:szCs w:val="21"/>
                <w:lang w:val="en-US" w:eastAsia="zh-CN" w:bidi="ar-SA"/>
              </w:rPr>
              <w:t>体系基本符合标准的要求，且运行有效。因此提议各部门在对本次审核提出的不合格项按规定时间在5个工作日内纠正完成之后,可以申请GB/T19001-2016、GB/T24001-2016、GB/T45001-2020正式审核。但公司应加强新标准的学习。</w:t>
            </w:r>
          </w:p>
          <w:p>
            <w:pPr>
              <w:spacing w:line="360" w:lineRule="auto"/>
              <w:ind w:firstLine="420" w:firstLineChars="200"/>
              <w:rPr>
                <w:rFonts w:hint="eastAsia" w:ascii="宋体" w:hAnsi="宋体" w:eastAsia="宋体" w:cs="宋体"/>
                <w:sz w:val="21"/>
                <w:szCs w:val="21"/>
              </w:rPr>
            </w:pPr>
            <w:r>
              <w:rPr>
                <w:rFonts w:hint="eastAsia" w:ascii="Times New Roman" w:cs="Times New Roman" w:hAnsiTheme="minorEastAsia" w:eastAsiaTheme="minorEastAsia"/>
                <w:color w:val="auto"/>
                <w:sz w:val="21"/>
                <w:szCs w:val="21"/>
              </w:rPr>
              <w:t>提供了内审员培训记录，审核员没有审核自己部门工作，具有独立性。</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Align w:val="center"/>
          </w:tcPr>
          <w:p>
            <w:pPr>
              <w:spacing w:line="360" w:lineRule="auto"/>
              <w:rPr>
                <w:rFonts w:hint="eastAsia" w:ascii="宋体" w:hAnsi="宋体" w:cs="新宋体"/>
                <w:sz w:val="18"/>
                <w:szCs w:val="18"/>
              </w:rPr>
            </w:pPr>
            <w:r>
              <w:rPr>
                <w:rFonts w:hint="eastAsia" w:ascii="宋体" w:hAnsi="宋体" w:cs="新宋体"/>
                <w:sz w:val="18"/>
                <w:szCs w:val="18"/>
              </w:rPr>
              <w:t>纠正措施</w:t>
            </w:r>
          </w:p>
        </w:tc>
        <w:tc>
          <w:tcPr>
            <w:tcW w:w="1311" w:type="dxa"/>
            <w:vAlign w:val="center"/>
          </w:tcPr>
          <w:p>
            <w:pPr>
              <w:spacing w:line="360" w:lineRule="auto"/>
              <w:rPr>
                <w:rFonts w:hint="eastAsia" w:ascii="宋体" w:hAnsi="宋体" w:cs="新宋体"/>
                <w:sz w:val="18"/>
                <w:szCs w:val="18"/>
                <w:lang w:val="en-US" w:eastAsia="zh-CN"/>
              </w:rPr>
            </w:pPr>
            <w:r>
              <w:rPr>
                <w:rFonts w:hint="eastAsia" w:ascii="宋体" w:hAnsi="宋体" w:cs="新宋体"/>
                <w:sz w:val="18"/>
                <w:szCs w:val="18"/>
                <w:lang w:val="en-US" w:eastAsia="zh-CN"/>
              </w:rPr>
              <w:t>EO</w:t>
            </w:r>
            <w:r>
              <w:rPr>
                <w:rFonts w:hint="eastAsia" w:ascii="宋体" w:hAnsi="宋体" w:cs="新宋体"/>
                <w:sz w:val="18"/>
                <w:szCs w:val="18"/>
              </w:rPr>
              <w:t>10.2</w:t>
            </w:r>
          </w:p>
        </w:tc>
        <w:tc>
          <w:tcPr>
            <w:tcW w:w="10455" w:type="dxa"/>
            <w:vAlign w:val="center"/>
          </w:tcPr>
          <w:p>
            <w:r>
              <w:rPr>
                <w:rFonts w:hint="eastAsia" w:cs="宋体"/>
              </w:rPr>
              <w:t>制定了《不符合、纠正措施控制程序》，内容基本符合标准要求。</w:t>
            </w:r>
          </w:p>
          <w:p>
            <w:r>
              <w:rPr>
                <w:rFonts w:hint="eastAsia" w:cs="宋体"/>
              </w:rPr>
              <w:t>对日常工作检查，管理评审，内审，其他考评，合规性评价发现的不符合及环境的事件采取纠正，防止事态发展，进行原因分析，采取必要的纠正预防措施，防止事件的发生、再发生。</w:t>
            </w:r>
          </w:p>
          <w:p>
            <w:pPr>
              <w:spacing w:line="360" w:lineRule="auto"/>
              <w:ind w:firstLine="420" w:firstLineChars="200"/>
              <w:rPr>
                <w:rFonts w:hint="eastAsia" w:ascii="宋体" w:hAnsi="宋体" w:eastAsia="宋体" w:cs="宋体"/>
                <w:sz w:val="21"/>
                <w:szCs w:val="21"/>
              </w:rPr>
            </w:pPr>
            <w:r>
              <w:rPr>
                <w:rFonts w:hint="eastAsia" w:cs="宋体"/>
              </w:rPr>
              <w:t>对管理评审、内审提出的不符合及改进要求，进行原因分析，制定了具体措施，目前已实施完成。</w:t>
            </w:r>
          </w:p>
        </w:tc>
        <w:tc>
          <w:tcPr>
            <w:tcW w:w="1134" w:type="dxa"/>
            <w:vAlign w:val="center"/>
          </w:tcPr>
          <w:p>
            <w:pPr>
              <w:spacing w:line="360" w:lineRule="auto"/>
              <w:rPr>
                <w:rFonts w:hint="eastAsia" w:ascii="宋体" w:hAnsi="宋体" w:eastAsia="宋体" w:cs="宋体"/>
                <w:b/>
                <w:sz w:val="21"/>
                <w:szCs w:val="21"/>
              </w:rPr>
            </w:pPr>
            <w:r>
              <w:rPr>
                <w:rFonts w:hint="eastAsia" w:ascii="宋体" w:hAnsi="宋体" w:cs="宋体"/>
                <w:sz w:val="21"/>
                <w:szCs w:val="21"/>
                <w:lang w:val="en-US" w:eastAsia="zh-CN"/>
              </w:rPr>
              <w:t>合格</w:t>
            </w:r>
          </w:p>
        </w:tc>
      </w:tr>
    </w:tbl>
    <w:p>
      <w:pPr>
        <w:pStyle w:val="8"/>
        <w:spacing w:line="360" w:lineRule="auto"/>
        <w:rPr>
          <w:rFonts w:asciiTheme="minorEastAsia" w:hAnsiTheme="minorEastAsia" w:eastAsiaTheme="minorEastAsia"/>
          <w:sz w:val="24"/>
          <w:szCs w:val="24"/>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10</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D ISC-B-II-</w:t>
                </w:r>
                <w:r>
                  <w:rPr>
                    <w:rFonts w:hint="eastAsia"/>
                    <w:sz w:val="18"/>
                    <w:szCs w:val="18"/>
                    <w:lang w:val="en-US" w:eastAsia="zh-CN"/>
                  </w:rPr>
                  <w:t xml:space="preserve">12 </w:t>
                </w:r>
                <w:r>
                  <w:rPr>
                    <w:rFonts w:hint="eastAsia"/>
                    <w:sz w:val="18"/>
                    <w:szCs w:val="18"/>
                  </w:rPr>
                  <w:t>管理体系审核记录表(03版)</w:t>
                </w:r>
              </w:p>
            </w:txbxContent>
          </v:textbox>
        </v:shape>
      </w:pic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214B6"/>
    <w:rsid w:val="0002531E"/>
    <w:rsid w:val="0003373A"/>
    <w:rsid w:val="000412F6"/>
    <w:rsid w:val="00041E10"/>
    <w:rsid w:val="0005199E"/>
    <w:rsid w:val="0005697E"/>
    <w:rsid w:val="000579CF"/>
    <w:rsid w:val="00081EEA"/>
    <w:rsid w:val="00082216"/>
    <w:rsid w:val="00082398"/>
    <w:rsid w:val="000849D2"/>
    <w:rsid w:val="000876EA"/>
    <w:rsid w:val="000A5E44"/>
    <w:rsid w:val="000B1394"/>
    <w:rsid w:val="000B40BD"/>
    <w:rsid w:val="000C123B"/>
    <w:rsid w:val="000D5401"/>
    <w:rsid w:val="000D697A"/>
    <w:rsid w:val="000D7766"/>
    <w:rsid w:val="000E2B69"/>
    <w:rsid w:val="000E7EF7"/>
    <w:rsid w:val="000F12FA"/>
    <w:rsid w:val="000F35F1"/>
    <w:rsid w:val="001022F1"/>
    <w:rsid w:val="001037D5"/>
    <w:rsid w:val="00145688"/>
    <w:rsid w:val="0015412C"/>
    <w:rsid w:val="001677C1"/>
    <w:rsid w:val="00185481"/>
    <w:rsid w:val="001918ED"/>
    <w:rsid w:val="00192A7F"/>
    <w:rsid w:val="001A1EFF"/>
    <w:rsid w:val="001A2D7F"/>
    <w:rsid w:val="001A3DF8"/>
    <w:rsid w:val="001A572D"/>
    <w:rsid w:val="001B6D91"/>
    <w:rsid w:val="001C3359"/>
    <w:rsid w:val="001D168D"/>
    <w:rsid w:val="001D4AD8"/>
    <w:rsid w:val="001D54FF"/>
    <w:rsid w:val="001E1974"/>
    <w:rsid w:val="001F3FF9"/>
    <w:rsid w:val="00202BC2"/>
    <w:rsid w:val="00203011"/>
    <w:rsid w:val="00210F5A"/>
    <w:rsid w:val="00214113"/>
    <w:rsid w:val="00215081"/>
    <w:rsid w:val="00222532"/>
    <w:rsid w:val="00237445"/>
    <w:rsid w:val="002531AF"/>
    <w:rsid w:val="002651A6"/>
    <w:rsid w:val="00267F3C"/>
    <w:rsid w:val="00293842"/>
    <w:rsid w:val="002963C7"/>
    <w:rsid w:val="002973F0"/>
    <w:rsid w:val="002975C1"/>
    <w:rsid w:val="002A0E6E"/>
    <w:rsid w:val="002A33CC"/>
    <w:rsid w:val="002B1808"/>
    <w:rsid w:val="002B43FA"/>
    <w:rsid w:val="002B6D4A"/>
    <w:rsid w:val="002C1ACE"/>
    <w:rsid w:val="002C3E0D"/>
    <w:rsid w:val="002D2A3B"/>
    <w:rsid w:val="002D41FB"/>
    <w:rsid w:val="002E0587"/>
    <w:rsid w:val="002E1E1D"/>
    <w:rsid w:val="00326FC1"/>
    <w:rsid w:val="00327247"/>
    <w:rsid w:val="00337922"/>
    <w:rsid w:val="00340867"/>
    <w:rsid w:val="00342857"/>
    <w:rsid w:val="003608CB"/>
    <w:rsid w:val="003627B6"/>
    <w:rsid w:val="003708D5"/>
    <w:rsid w:val="00372886"/>
    <w:rsid w:val="00374913"/>
    <w:rsid w:val="0038061A"/>
    <w:rsid w:val="0038063B"/>
    <w:rsid w:val="00380837"/>
    <w:rsid w:val="00382EDD"/>
    <w:rsid w:val="003836CA"/>
    <w:rsid w:val="00385EF8"/>
    <w:rsid w:val="00386A98"/>
    <w:rsid w:val="0039124F"/>
    <w:rsid w:val="00397D15"/>
    <w:rsid w:val="003A1E9C"/>
    <w:rsid w:val="003A5CBF"/>
    <w:rsid w:val="003D6BE3"/>
    <w:rsid w:val="003D6D29"/>
    <w:rsid w:val="003E0E52"/>
    <w:rsid w:val="003F20A5"/>
    <w:rsid w:val="00400B96"/>
    <w:rsid w:val="00405D5F"/>
    <w:rsid w:val="00410914"/>
    <w:rsid w:val="00415AA3"/>
    <w:rsid w:val="00420C60"/>
    <w:rsid w:val="00422465"/>
    <w:rsid w:val="00430432"/>
    <w:rsid w:val="00433759"/>
    <w:rsid w:val="0043494E"/>
    <w:rsid w:val="004414A5"/>
    <w:rsid w:val="00456697"/>
    <w:rsid w:val="00465FE1"/>
    <w:rsid w:val="00475491"/>
    <w:rsid w:val="00476EAE"/>
    <w:rsid w:val="004869FB"/>
    <w:rsid w:val="00491735"/>
    <w:rsid w:val="00494A46"/>
    <w:rsid w:val="004A4AEB"/>
    <w:rsid w:val="004B217F"/>
    <w:rsid w:val="004B3E7F"/>
    <w:rsid w:val="004C026E"/>
    <w:rsid w:val="004C07FE"/>
    <w:rsid w:val="004D3E4C"/>
    <w:rsid w:val="004F185D"/>
    <w:rsid w:val="0050085A"/>
    <w:rsid w:val="005056ED"/>
    <w:rsid w:val="0050670C"/>
    <w:rsid w:val="00517E4C"/>
    <w:rsid w:val="00521CF0"/>
    <w:rsid w:val="00527840"/>
    <w:rsid w:val="0053208B"/>
    <w:rsid w:val="00534814"/>
    <w:rsid w:val="00536930"/>
    <w:rsid w:val="00553B42"/>
    <w:rsid w:val="00560A2A"/>
    <w:rsid w:val="00564E53"/>
    <w:rsid w:val="00565E6F"/>
    <w:rsid w:val="00583277"/>
    <w:rsid w:val="00592C3E"/>
    <w:rsid w:val="005A000F"/>
    <w:rsid w:val="005A6D02"/>
    <w:rsid w:val="005B173D"/>
    <w:rsid w:val="005B6888"/>
    <w:rsid w:val="005C631E"/>
    <w:rsid w:val="005F5AB2"/>
    <w:rsid w:val="005F6C65"/>
    <w:rsid w:val="00600F02"/>
    <w:rsid w:val="0060444D"/>
    <w:rsid w:val="00604735"/>
    <w:rsid w:val="00623A94"/>
    <w:rsid w:val="00642776"/>
    <w:rsid w:val="00643DBF"/>
    <w:rsid w:val="00644FE2"/>
    <w:rsid w:val="00645FB8"/>
    <w:rsid w:val="00651986"/>
    <w:rsid w:val="006545E8"/>
    <w:rsid w:val="00664736"/>
    <w:rsid w:val="00665980"/>
    <w:rsid w:val="0067640C"/>
    <w:rsid w:val="006836D9"/>
    <w:rsid w:val="00695256"/>
    <w:rsid w:val="00695570"/>
    <w:rsid w:val="00696AF1"/>
    <w:rsid w:val="006A3B31"/>
    <w:rsid w:val="006A68F3"/>
    <w:rsid w:val="006B4127"/>
    <w:rsid w:val="006C24BF"/>
    <w:rsid w:val="006C2623"/>
    <w:rsid w:val="006C40B9"/>
    <w:rsid w:val="006C70E4"/>
    <w:rsid w:val="006C784C"/>
    <w:rsid w:val="006E374B"/>
    <w:rsid w:val="006E678B"/>
    <w:rsid w:val="0070367F"/>
    <w:rsid w:val="007041A2"/>
    <w:rsid w:val="00712F3C"/>
    <w:rsid w:val="007170AA"/>
    <w:rsid w:val="00727DD7"/>
    <w:rsid w:val="00732B66"/>
    <w:rsid w:val="00737C8F"/>
    <w:rsid w:val="00740459"/>
    <w:rsid w:val="007406DE"/>
    <w:rsid w:val="00743E79"/>
    <w:rsid w:val="00744BEA"/>
    <w:rsid w:val="00751532"/>
    <w:rsid w:val="00751C37"/>
    <w:rsid w:val="00755224"/>
    <w:rsid w:val="0075769B"/>
    <w:rsid w:val="007632CF"/>
    <w:rsid w:val="007757F3"/>
    <w:rsid w:val="007815DC"/>
    <w:rsid w:val="007A29DE"/>
    <w:rsid w:val="007A47FB"/>
    <w:rsid w:val="007B106B"/>
    <w:rsid w:val="007B275D"/>
    <w:rsid w:val="007E6AEB"/>
    <w:rsid w:val="007F01EC"/>
    <w:rsid w:val="007F3604"/>
    <w:rsid w:val="007F7DF2"/>
    <w:rsid w:val="0080470C"/>
    <w:rsid w:val="008079FA"/>
    <w:rsid w:val="00810D58"/>
    <w:rsid w:val="00835B31"/>
    <w:rsid w:val="00843075"/>
    <w:rsid w:val="00844848"/>
    <w:rsid w:val="008646DE"/>
    <w:rsid w:val="00864902"/>
    <w:rsid w:val="00864BE7"/>
    <w:rsid w:val="00865200"/>
    <w:rsid w:val="00871695"/>
    <w:rsid w:val="00883873"/>
    <w:rsid w:val="00891C25"/>
    <w:rsid w:val="008973EE"/>
    <w:rsid w:val="008976E1"/>
    <w:rsid w:val="008D089D"/>
    <w:rsid w:val="008F0B04"/>
    <w:rsid w:val="008F7C55"/>
    <w:rsid w:val="008F7FF3"/>
    <w:rsid w:val="0092799E"/>
    <w:rsid w:val="00930694"/>
    <w:rsid w:val="00934679"/>
    <w:rsid w:val="0093521F"/>
    <w:rsid w:val="00937872"/>
    <w:rsid w:val="00940ADC"/>
    <w:rsid w:val="00945677"/>
    <w:rsid w:val="00955B84"/>
    <w:rsid w:val="00962F78"/>
    <w:rsid w:val="00965982"/>
    <w:rsid w:val="0096609F"/>
    <w:rsid w:val="00971600"/>
    <w:rsid w:val="009761E2"/>
    <w:rsid w:val="00984342"/>
    <w:rsid w:val="009973B4"/>
    <w:rsid w:val="009A6882"/>
    <w:rsid w:val="009B7EB8"/>
    <w:rsid w:val="009E30DA"/>
    <w:rsid w:val="009E6193"/>
    <w:rsid w:val="009E7DD1"/>
    <w:rsid w:val="009F0473"/>
    <w:rsid w:val="009F7EED"/>
    <w:rsid w:val="00A138EC"/>
    <w:rsid w:val="00A15483"/>
    <w:rsid w:val="00A34A6F"/>
    <w:rsid w:val="00A464C3"/>
    <w:rsid w:val="00A730F3"/>
    <w:rsid w:val="00A801DE"/>
    <w:rsid w:val="00A90A22"/>
    <w:rsid w:val="00A97734"/>
    <w:rsid w:val="00AA5FDD"/>
    <w:rsid w:val="00AA7F40"/>
    <w:rsid w:val="00AB0F3F"/>
    <w:rsid w:val="00AB41FC"/>
    <w:rsid w:val="00AB7D2F"/>
    <w:rsid w:val="00AD1794"/>
    <w:rsid w:val="00AD6F34"/>
    <w:rsid w:val="00AF0AAB"/>
    <w:rsid w:val="00AF616B"/>
    <w:rsid w:val="00B0685B"/>
    <w:rsid w:val="00B23030"/>
    <w:rsid w:val="00B237B9"/>
    <w:rsid w:val="00B23CAA"/>
    <w:rsid w:val="00B31A65"/>
    <w:rsid w:val="00B410EE"/>
    <w:rsid w:val="00B4275C"/>
    <w:rsid w:val="00B8202D"/>
    <w:rsid w:val="00B929FD"/>
    <w:rsid w:val="00B95B99"/>
    <w:rsid w:val="00B95F69"/>
    <w:rsid w:val="00BC2015"/>
    <w:rsid w:val="00BC71B0"/>
    <w:rsid w:val="00BD0EBF"/>
    <w:rsid w:val="00BE3314"/>
    <w:rsid w:val="00BF0EE0"/>
    <w:rsid w:val="00BF597E"/>
    <w:rsid w:val="00C03098"/>
    <w:rsid w:val="00C05E2A"/>
    <w:rsid w:val="00C14685"/>
    <w:rsid w:val="00C267D7"/>
    <w:rsid w:val="00C31C73"/>
    <w:rsid w:val="00C4762C"/>
    <w:rsid w:val="00C51A36"/>
    <w:rsid w:val="00C540A7"/>
    <w:rsid w:val="00C548BE"/>
    <w:rsid w:val="00C55228"/>
    <w:rsid w:val="00C67E19"/>
    <w:rsid w:val="00C67E47"/>
    <w:rsid w:val="00C71E85"/>
    <w:rsid w:val="00C86F9B"/>
    <w:rsid w:val="00C87FEE"/>
    <w:rsid w:val="00C920A9"/>
    <w:rsid w:val="00CA76D3"/>
    <w:rsid w:val="00CB260B"/>
    <w:rsid w:val="00CB5189"/>
    <w:rsid w:val="00CE2A9E"/>
    <w:rsid w:val="00CE315A"/>
    <w:rsid w:val="00CE7BE1"/>
    <w:rsid w:val="00CF147A"/>
    <w:rsid w:val="00CF1726"/>
    <w:rsid w:val="00CF6C5C"/>
    <w:rsid w:val="00D06F59"/>
    <w:rsid w:val="00D31507"/>
    <w:rsid w:val="00D3392D"/>
    <w:rsid w:val="00D429D7"/>
    <w:rsid w:val="00D55E69"/>
    <w:rsid w:val="00D562F6"/>
    <w:rsid w:val="00D70C09"/>
    <w:rsid w:val="00D8388C"/>
    <w:rsid w:val="00DA0DF0"/>
    <w:rsid w:val="00DC4F24"/>
    <w:rsid w:val="00DE146D"/>
    <w:rsid w:val="00DE2D80"/>
    <w:rsid w:val="00DE6FCE"/>
    <w:rsid w:val="00DF76DB"/>
    <w:rsid w:val="00E038E4"/>
    <w:rsid w:val="00E13D9A"/>
    <w:rsid w:val="00E32D13"/>
    <w:rsid w:val="00E43822"/>
    <w:rsid w:val="00E54035"/>
    <w:rsid w:val="00E62996"/>
    <w:rsid w:val="00E63714"/>
    <w:rsid w:val="00E64A51"/>
    <w:rsid w:val="00E74909"/>
    <w:rsid w:val="00E910C0"/>
    <w:rsid w:val="00E97424"/>
    <w:rsid w:val="00EA55F7"/>
    <w:rsid w:val="00EB0164"/>
    <w:rsid w:val="00EB461C"/>
    <w:rsid w:val="00EB65F7"/>
    <w:rsid w:val="00EC42F5"/>
    <w:rsid w:val="00ED0F62"/>
    <w:rsid w:val="00EE42EF"/>
    <w:rsid w:val="00EF36E7"/>
    <w:rsid w:val="00F02D75"/>
    <w:rsid w:val="00F06D09"/>
    <w:rsid w:val="00F11201"/>
    <w:rsid w:val="00F14D99"/>
    <w:rsid w:val="00F32CB9"/>
    <w:rsid w:val="00F33729"/>
    <w:rsid w:val="00F35CD7"/>
    <w:rsid w:val="00F606E1"/>
    <w:rsid w:val="00F65C13"/>
    <w:rsid w:val="00F66B2D"/>
    <w:rsid w:val="00F6739D"/>
    <w:rsid w:val="00F83639"/>
    <w:rsid w:val="00F840C3"/>
    <w:rsid w:val="00F856F5"/>
    <w:rsid w:val="00F956F5"/>
    <w:rsid w:val="00FA0833"/>
    <w:rsid w:val="00FA350D"/>
    <w:rsid w:val="00FA421C"/>
    <w:rsid w:val="00FB03C3"/>
    <w:rsid w:val="00FB34AC"/>
    <w:rsid w:val="00FB5A65"/>
    <w:rsid w:val="00FC7BD3"/>
    <w:rsid w:val="00FD2869"/>
    <w:rsid w:val="00FD5EE5"/>
    <w:rsid w:val="00FD72A6"/>
    <w:rsid w:val="00FE09C9"/>
    <w:rsid w:val="0CA86709"/>
    <w:rsid w:val="0CB813BC"/>
    <w:rsid w:val="108219C2"/>
    <w:rsid w:val="13194BDF"/>
    <w:rsid w:val="14302BD8"/>
    <w:rsid w:val="19B20207"/>
    <w:rsid w:val="1A564B14"/>
    <w:rsid w:val="1B7677A3"/>
    <w:rsid w:val="20670776"/>
    <w:rsid w:val="26101BB1"/>
    <w:rsid w:val="2C2316A2"/>
    <w:rsid w:val="318049D1"/>
    <w:rsid w:val="3297344B"/>
    <w:rsid w:val="349B3EE4"/>
    <w:rsid w:val="363E5A96"/>
    <w:rsid w:val="36FE7DC5"/>
    <w:rsid w:val="3B096978"/>
    <w:rsid w:val="440F3474"/>
    <w:rsid w:val="44923F3E"/>
    <w:rsid w:val="457557A0"/>
    <w:rsid w:val="4BF13CC1"/>
    <w:rsid w:val="4CE22276"/>
    <w:rsid w:val="5265300B"/>
    <w:rsid w:val="584B0867"/>
    <w:rsid w:val="58610F4A"/>
    <w:rsid w:val="59CB129E"/>
    <w:rsid w:val="5C6313EF"/>
    <w:rsid w:val="5D1A4154"/>
    <w:rsid w:val="5EA12B9A"/>
    <w:rsid w:val="5FA42FC7"/>
    <w:rsid w:val="692A4F59"/>
    <w:rsid w:val="69A3566A"/>
    <w:rsid w:val="6CE25EDB"/>
    <w:rsid w:val="703768AF"/>
    <w:rsid w:val="71E42653"/>
    <w:rsid w:val="73BC01B9"/>
    <w:rsid w:val="79826C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paragraph" w:styleId="4">
    <w:name w:val="heading 2"/>
    <w:basedOn w:val="1"/>
    <w:next w:val="5"/>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Normal Indent"/>
    <w:basedOn w:val="1"/>
    <w:qFormat/>
    <w:uiPriority w:val="0"/>
    <w:pPr>
      <w:adjustRightInd w:val="0"/>
      <w:spacing w:line="360" w:lineRule="atLeast"/>
      <w:ind w:left="480"/>
      <w:textAlignment w:val="baseline"/>
    </w:pPr>
    <w:rPr>
      <w:kern w:val="0"/>
    </w:rPr>
  </w:style>
  <w:style w:type="paragraph" w:styleId="6">
    <w:name w:val="Body Text Indent"/>
    <w:basedOn w:val="1"/>
    <w:semiHidden/>
    <w:qFormat/>
    <w:uiPriority w:val="99"/>
    <w:pPr>
      <w:spacing w:after="120"/>
      <w:ind w:left="420" w:leftChars="200"/>
    </w:p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6"/>
    <w:qFormat/>
    <w:uiPriority w:val="99"/>
    <w:pPr>
      <w:spacing w:after="0"/>
      <w:ind w:left="0" w:leftChars="0" w:firstLine="420" w:firstLineChars="200"/>
      <w:jc w:val="left"/>
    </w:pPr>
    <w:rPr>
      <w:rFonts w:ascii="宋体" w:hAnsi="宋体" w:eastAsia="仿宋_GB2312"/>
      <w:color w:val="000000"/>
      <w:sz w:val="28"/>
    </w:rPr>
  </w:style>
  <w:style w:type="character" w:customStyle="1" w:styleId="13">
    <w:name w:val="页眉 Char"/>
    <w:basedOn w:val="12"/>
    <w:link w:val="9"/>
    <w:qFormat/>
    <w:uiPriority w:val="0"/>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2"/>
    <w:qFormat/>
    <w:uiPriority w:val="0"/>
    <w:rPr>
      <w:rFonts w:hint="eastAsia" w:ascii="宋体" w:hAnsi="宋体" w:eastAsia="宋体"/>
      <w:color w:val="000000"/>
      <w:sz w:val="24"/>
      <w:szCs w:val="24"/>
    </w:rPr>
  </w:style>
  <w:style w:type="character" w:customStyle="1" w:styleId="18">
    <w:name w:val="fontstyle21"/>
    <w:basedOn w:val="12"/>
    <w:qFormat/>
    <w:uiPriority w:val="0"/>
    <w:rPr>
      <w:rFonts w:hint="default" w:ascii="Times New Roman" w:hAnsi="Times New Roman" w:cs="Times New Roman"/>
      <w:color w:val="000000"/>
      <w:sz w:val="24"/>
      <w:szCs w:val="24"/>
    </w:rPr>
  </w:style>
  <w:style w:type="character" w:customStyle="1" w:styleId="19">
    <w:name w:val="标题 2 Char"/>
    <w:basedOn w:val="12"/>
    <w:link w:val="4"/>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oleObject" Target="embeddings/oleObject2.bin"/><Relationship Id="rId10" Type="http://schemas.openxmlformats.org/officeDocument/2006/relationships/image" Target="media/image5.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774</Words>
  <Characters>4413</Characters>
  <Lines>36</Lines>
  <Paragraphs>10</Paragraphs>
  <TotalTime>2</TotalTime>
  <ScaleCrop>false</ScaleCrop>
  <LinksUpToDate>false</LinksUpToDate>
  <CharactersWithSpaces>5177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2021-09-18T06:19:08Z</dcterms:modified>
  <cp:revision>434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5B7BC57CB7D54CCD826ECCBE2D7FDD29</vt:lpwstr>
  </property>
</Properties>
</file>