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998"/>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22" w:type="dxa"/>
            <w:vMerge w:val="restart"/>
            <w:vAlign w:val="center"/>
          </w:tcPr>
          <w:p>
            <w:pPr>
              <w:keepNext w:val="0"/>
              <w:keepLines w:val="0"/>
              <w:pageBreakBefore w:val="0"/>
              <w:widowControl w:val="0"/>
              <w:kinsoku/>
              <w:wordWrap/>
              <w:overflowPunct/>
              <w:topLinePunct w:val="0"/>
              <w:autoSpaceDE/>
              <w:autoSpaceDN/>
              <w:bidi w:val="0"/>
              <w:adjustRightInd/>
              <w:snapToGrid/>
              <w:spacing w:before="120" w:line="240" w:lineRule="auto"/>
              <w:ind w:firstLine="0" w:firstLineChars="0"/>
              <w:jc w:val="center"/>
              <w:textAlignment w:val="auto"/>
              <w:rPr>
                <w:sz w:val="21"/>
                <w:szCs w:val="21"/>
              </w:rPr>
            </w:pPr>
            <w:r>
              <w:rPr>
                <w:rFonts w:hint="eastAsia"/>
                <w:sz w:val="21"/>
                <w:szCs w:val="21"/>
              </w:rPr>
              <w:t>过程与活动、</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 w:val="21"/>
                <w:szCs w:val="21"/>
              </w:rPr>
            </w:pPr>
            <w:r>
              <w:rPr>
                <w:rFonts w:hint="eastAsia"/>
                <w:sz w:val="21"/>
                <w:szCs w:val="21"/>
              </w:rPr>
              <w:t>抽样计划</w:t>
            </w:r>
          </w:p>
        </w:tc>
        <w:tc>
          <w:tcPr>
            <w:tcW w:w="99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sz w:val="21"/>
                <w:szCs w:val="21"/>
              </w:rPr>
            </w:pPr>
            <w:r>
              <w:rPr>
                <w:rFonts w:hint="eastAsia"/>
                <w:sz w:val="21"/>
                <w:szCs w:val="21"/>
              </w:rPr>
              <w:t>涉及</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sz w:val="21"/>
                <w:szCs w:val="21"/>
              </w:rPr>
            </w:pPr>
            <w:r>
              <w:rPr>
                <w:rFonts w:hint="eastAsia"/>
                <w:sz w:val="21"/>
                <w:szCs w:val="21"/>
              </w:rPr>
              <w:t>条款</w:t>
            </w:r>
          </w:p>
        </w:tc>
        <w:tc>
          <w:tcPr>
            <w:tcW w:w="100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eastAsia="宋体"/>
                <w:sz w:val="21"/>
                <w:szCs w:val="21"/>
                <w:lang w:val="en-US" w:eastAsia="zh-CN"/>
              </w:rPr>
            </w:pPr>
            <w:r>
              <w:rPr>
                <w:rFonts w:hint="eastAsia"/>
                <w:sz w:val="21"/>
                <w:szCs w:val="21"/>
              </w:rPr>
              <w:t>受审核部门：管理层</w:t>
            </w:r>
            <w:r>
              <w:rPr>
                <w:rFonts w:hint="eastAsia"/>
                <w:sz w:val="21"/>
                <w:szCs w:val="21"/>
                <w:lang w:val="en-US" w:eastAsia="zh-CN"/>
              </w:rPr>
              <w:t xml:space="preserve"> 员工代表 </w:t>
            </w:r>
            <w:r>
              <w:rPr>
                <w:rFonts w:hint="eastAsia"/>
                <w:sz w:val="21"/>
                <w:szCs w:val="21"/>
              </w:rPr>
              <w:t xml:space="preserve"> </w:t>
            </w:r>
            <w:r>
              <w:rPr>
                <w:sz w:val="21"/>
                <w:szCs w:val="21"/>
              </w:rPr>
              <w:t xml:space="preserve">  </w:t>
            </w:r>
            <w:r>
              <w:rPr>
                <w:rFonts w:hint="eastAsia"/>
                <w:sz w:val="21"/>
                <w:szCs w:val="21"/>
              </w:rPr>
              <w:t>主管领</w:t>
            </w:r>
            <w:r>
              <w:rPr>
                <w:rFonts w:hint="eastAsia"/>
                <w:sz w:val="21"/>
                <w:szCs w:val="21"/>
                <w:highlight w:val="none"/>
              </w:rPr>
              <w:t>导：</w:t>
            </w:r>
            <w:r>
              <w:rPr>
                <w:rFonts w:hint="eastAsia"/>
                <w:sz w:val="21"/>
                <w:szCs w:val="21"/>
                <w:highlight w:val="none"/>
                <w:lang w:val="en-US" w:eastAsia="zh-CN"/>
              </w:rPr>
              <w:t>王永兴/马锐 /项梦霞</w:t>
            </w:r>
            <w:r>
              <w:rPr>
                <w:rFonts w:hint="eastAsia"/>
                <w:sz w:val="21"/>
                <w:szCs w:val="21"/>
                <w:highlight w:val="none"/>
              </w:rPr>
              <w:t xml:space="preserve"> </w:t>
            </w:r>
            <w:r>
              <w:rPr>
                <w:sz w:val="21"/>
                <w:szCs w:val="21"/>
                <w:highlight w:val="none"/>
              </w:rPr>
              <w:t xml:space="preserve">  </w:t>
            </w:r>
            <w:r>
              <w:rPr>
                <w:rFonts w:hint="eastAsia"/>
                <w:sz w:val="21"/>
                <w:szCs w:val="21"/>
                <w:highlight w:val="none"/>
              </w:rPr>
              <w:t>陪同人员：</w:t>
            </w:r>
            <w:r>
              <w:rPr>
                <w:rFonts w:hint="eastAsia"/>
                <w:sz w:val="21"/>
                <w:szCs w:val="21"/>
                <w:highlight w:val="none"/>
                <w:lang w:val="en-US" w:eastAsia="zh-CN"/>
              </w:rPr>
              <w:t>周卜勇</w:t>
            </w:r>
          </w:p>
        </w:tc>
        <w:tc>
          <w:tcPr>
            <w:tcW w:w="1585" w:type="dxa"/>
            <w:vMerge w:val="restart"/>
            <w:vAlign w:val="center"/>
          </w:tcPr>
          <w:p>
            <w:pPr>
              <w:keepLines w:val="0"/>
              <w:pageBreakBefore w:val="0"/>
              <w:widowControl w:val="0"/>
              <w:kinsoku/>
              <w:wordWrap/>
              <w:overflowPunct/>
              <w:topLinePunct w:val="0"/>
              <w:autoSpaceDE/>
              <w:autoSpaceDN/>
              <w:bidi w:val="0"/>
              <w:adjustRightInd/>
              <w:spacing w:line="240" w:lineRule="auto"/>
              <w:ind w:firstLine="420" w:firstLineChars="200"/>
              <w:textAlignment w:val="auto"/>
              <w:rPr>
                <w:sz w:val="21"/>
                <w:szCs w:val="21"/>
              </w:rPr>
            </w:pPr>
            <w:r>
              <w:rPr>
                <w:rFonts w:hint="eastAsia"/>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212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sz w:val="21"/>
                <w:szCs w:val="21"/>
              </w:rPr>
            </w:pPr>
          </w:p>
        </w:tc>
        <w:tc>
          <w:tcPr>
            <w:tcW w:w="99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sz w:val="21"/>
                <w:szCs w:val="21"/>
              </w:rPr>
            </w:pPr>
          </w:p>
        </w:tc>
        <w:tc>
          <w:tcPr>
            <w:tcW w:w="10004" w:type="dxa"/>
            <w:vAlign w:val="center"/>
          </w:tcPr>
          <w:p>
            <w:pPr>
              <w:keepNext w:val="0"/>
              <w:keepLines w:val="0"/>
              <w:pageBreakBefore w:val="0"/>
              <w:widowControl w:val="0"/>
              <w:kinsoku/>
              <w:wordWrap/>
              <w:overflowPunct/>
              <w:topLinePunct w:val="0"/>
              <w:autoSpaceDE/>
              <w:autoSpaceDN/>
              <w:bidi w:val="0"/>
              <w:adjustRightInd/>
              <w:snapToGrid/>
              <w:spacing w:before="120" w:line="240" w:lineRule="auto"/>
              <w:ind w:firstLine="0" w:firstLineChars="0"/>
              <w:jc w:val="left"/>
              <w:textAlignment w:val="auto"/>
              <w:rPr>
                <w:rFonts w:hint="default" w:eastAsia="宋体"/>
                <w:sz w:val="21"/>
                <w:szCs w:val="21"/>
                <w:lang w:val="en-US" w:eastAsia="zh-CN"/>
              </w:rPr>
            </w:pPr>
            <w:r>
              <w:rPr>
                <w:rFonts w:hint="eastAsia"/>
                <w:sz w:val="21"/>
                <w:szCs w:val="21"/>
              </w:rPr>
              <w:t>审核员：林兵</w:t>
            </w:r>
            <w:r>
              <w:rPr>
                <w:rFonts w:hint="eastAsia"/>
                <w:sz w:val="21"/>
                <w:szCs w:val="21"/>
                <w:lang w:val="en-US" w:eastAsia="zh-CN"/>
              </w:rPr>
              <w:t xml:space="preserve"> 方小娥</w:t>
            </w:r>
            <w:r>
              <w:rPr>
                <w:rFonts w:hint="eastAsia"/>
                <w:sz w:val="21"/>
                <w:szCs w:val="21"/>
              </w:rPr>
              <w:t xml:space="preserve"> </w:t>
            </w:r>
            <w:r>
              <w:rPr>
                <w:sz w:val="21"/>
                <w:szCs w:val="21"/>
              </w:rPr>
              <w:t xml:space="preserve"> </w:t>
            </w:r>
            <w:r>
              <w:rPr>
                <w:rFonts w:hint="eastAsia"/>
                <w:sz w:val="21"/>
                <w:szCs w:val="21"/>
              </w:rPr>
              <w:t>审核时间：2</w:t>
            </w:r>
            <w:r>
              <w:rPr>
                <w:sz w:val="21"/>
                <w:szCs w:val="21"/>
              </w:rPr>
              <w:t>021.</w:t>
            </w:r>
            <w:r>
              <w:rPr>
                <w:rFonts w:hint="eastAsia"/>
                <w:sz w:val="21"/>
                <w:szCs w:val="21"/>
                <w:lang w:val="en-US" w:eastAsia="zh-CN"/>
              </w:rPr>
              <w:t>9</w:t>
            </w:r>
            <w:r>
              <w:rPr>
                <w:sz w:val="21"/>
                <w:szCs w:val="21"/>
              </w:rPr>
              <w:t>.</w:t>
            </w:r>
            <w:r>
              <w:rPr>
                <w:rFonts w:hint="eastAsia"/>
                <w:sz w:val="21"/>
                <w:szCs w:val="21"/>
                <w:lang w:val="en-US" w:eastAsia="zh-CN"/>
              </w:rPr>
              <w:t>8~10</w:t>
            </w:r>
          </w:p>
        </w:tc>
        <w:tc>
          <w:tcPr>
            <w:tcW w:w="1585" w:type="dxa"/>
            <w:vMerge w:val="continue"/>
          </w:tcPr>
          <w:p>
            <w:pPr>
              <w:keepLines w:val="0"/>
              <w:pageBreakBefore w:val="0"/>
              <w:widowControl w:val="0"/>
              <w:kinsoku/>
              <w:wordWrap/>
              <w:overflowPunct/>
              <w:topLinePunct w:val="0"/>
              <w:autoSpaceDE/>
              <w:autoSpaceDN/>
              <w:bidi w:val="0"/>
              <w:adjustRightInd/>
              <w:spacing w:line="240" w:lineRule="auto"/>
              <w:ind w:firstLine="420" w:firstLineChars="200"/>
              <w:textAlignment w:val="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2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sz w:val="21"/>
                <w:szCs w:val="21"/>
              </w:rPr>
            </w:pPr>
          </w:p>
        </w:tc>
        <w:tc>
          <w:tcPr>
            <w:tcW w:w="99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sz w:val="21"/>
                <w:szCs w:val="21"/>
              </w:rPr>
            </w:pPr>
          </w:p>
        </w:tc>
        <w:tc>
          <w:tcPr>
            <w:tcW w:w="10004" w:type="dxa"/>
            <w:vAlign w:val="center"/>
          </w:tcPr>
          <w:p>
            <w:pPr>
              <w:keepNext w:val="0"/>
              <w:keepLines w:val="0"/>
              <w:pageBreakBefore w:val="0"/>
              <w:widowControl w:val="0"/>
              <w:tabs>
                <w:tab w:val="left" w:pos="709"/>
              </w:tabs>
              <w:kinsoku/>
              <w:wordWrap/>
              <w:overflowPunct/>
              <w:topLinePunct w:val="0"/>
              <w:autoSpaceDE/>
              <w:autoSpaceDN/>
              <w:bidi w:val="0"/>
              <w:adjustRightInd/>
              <w:snapToGrid/>
              <w:spacing w:line="240" w:lineRule="auto"/>
              <w:ind w:right="57" w:firstLine="0" w:firstLineChars="0"/>
              <w:jc w:val="left"/>
              <w:textAlignment w:val="auto"/>
              <w:rPr>
                <w:rFonts w:hint="default" w:eastAsia="宋体"/>
                <w:sz w:val="21"/>
                <w:szCs w:val="21"/>
                <w:lang w:val="en-US" w:eastAsia="zh-CN"/>
              </w:rPr>
            </w:pPr>
            <w:r>
              <w:rPr>
                <w:rFonts w:hint="eastAsia"/>
                <w:sz w:val="21"/>
                <w:szCs w:val="21"/>
              </w:rPr>
              <w:t>审核条款：E/O:</w:t>
            </w:r>
            <w:r>
              <w:rPr>
                <w:rFonts w:hint="eastAsia"/>
                <w:sz w:val="18"/>
                <w:szCs w:val="18"/>
              </w:rPr>
              <w:t>4.1</w:t>
            </w:r>
            <w:r>
              <w:rPr>
                <w:rFonts w:hint="eastAsia"/>
                <w:sz w:val="18"/>
                <w:szCs w:val="18"/>
                <w:lang w:val="en-US" w:eastAsia="zh-CN"/>
              </w:rPr>
              <w:t>/</w:t>
            </w:r>
            <w:r>
              <w:rPr>
                <w:rFonts w:hint="eastAsia"/>
                <w:sz w:val="18"/>
                <w:szCs w:val="18"/>
              </w:rPr>
              <w:t xml:space="preserve"> 4.2 </w:t>
            </w:r>
            <w:r>
              <w:rPr>
                <w:rFonts w:hint="eastAsia"/>
                <w:sz w:val="18"/>
                <w:szCs w:val="18"/>
                <w:lang w:val="en-US" w:eastAsia="zh-CN"/>
              </w:rPr>
              <w:t>/</w:t>
            </w:r>
            <w:r>
              <w:rPr>
                <w:rFonts w:hint="eastAsia"/>
                <w:sz w:val="18"/>
                <w:szCs w:val="18"/>
              </w:rPr>
              <w:t xml:space="preserve">4.3 </w:t>
            </w:r>
            <w:r>
              <w:rPr>
                <w:rFonts w:hint="eastAsia"/>
                <w:sz w:val="18"/>
                <w:szCs w:val="18"/>
                <w:lang w:val="en-US" w:eastAsia="zh-CN"/>
              </w:rPr>
              <w:t>/</w:t>
            </w:r>
            <w:r>
              <w:rPr>
                <w:rFonts w:hint="eastAsia"/>
                <w:sz w:val="18"/>
                <w:szCs w:val="18"/>
              </w:rPr>
              <w:t>4.4</w:t>
            </w:r>
            <w:r>
              <w:rPr>
                <w:rFonts w:hint="eastAsia"/>
                <w:sz w:val="18"/>
                <w:szCs w:val="18"/>
                <w:lang w:val="en-US" w:eastAsia="zh-CN"/>
              </w:rPr>
              <w:t>/</w:t>
            </w:r>
            <w:r>
              <w:rPr>
                <w:rFonts w:hint="eastAsia"/>
                <w:sz w:val="18"/>
                <w:szCs w:val="18"/>
              </w:rPr>
              <w:t xml:space="preserve"> 5.1</w:t>
            </w:r>
            <w:r>
              <w:rPr>
                <w:rFonts w:hint="eastAsia"/>
                <w:sz w:val="18"/>
                <w:szCs w:val="18"/>
                <w:lang w:val="en-US" w:eastAsia="zh-CN"/>
              </w:rPr>
              <w:t>/</w:t>
            </w:r>
            <w:r>
              <w:rPr>
                <w:rFonts w:hint="eastAsia"/>
                <w:sz w:val="18"/>
                <w:szCs w:val="18"/>
              </w:rPr>
              <w:t xml:space="preserve">5.2 </w:t>
            </w:r>
            <w:r>
              <w:rPr>
                <w:rFonts w:hint="eastAsia"/>
                <w:sz w:val="18"/>
                <w:szCs w:val="18"/>
                <w:lang w:val="en-US" w:eastAsia="zh-CN"/>
              </w:rPr>
              <w:t>/</w:t>
            </w:r>
            <w:r>
              <w:rPr>
                <w:rFonts w:hint="eastAsia"/>
                <w:sz w:val="18"/>
                <w:szCs w:val="18"/>
              </w:rPr>
              <w:t xml:space="preserve">5.3 </w:t>
            </w:r>
            <w:r>
              <w:rPr>
                <w:rFonts w:hint="eastAsia"/>
                <w:sz w:val="18"/>
                <w:szCs w:val="18"/>
                <w:lang w:val="en-US" w:eastAsia="zh-CN"/>
              </w:rPr>
              <w:t>/</w:t>
            </w:r>
            <w:r>
              <w:rPr>
                <w:rFonts w:hint="eastAsia"/>
                <w:sz w:val="18"/>
                <w:szCs w:val="18"/>
              </w:rPr>
              <w:t xml:space="preserve">6.1 </w:t>
            </w:r>
            <w:r>
              <w:rPr>
                <w:rFonts w:hint="eastAsia"/>
                <w:sz w:val="18"/>
                <w:szCs w:val="18"/>
                <w:lang w:val="en-US" w:eastAsia="zh-CN"/>
              </w:rPr>
              <w:t>.1/</w:t>
            </w:r>
            <w:r>
              <w:rPr>
                <w:rFonts w:hint="eastAsia"/>
                <w:sz w:val="18"/>
                <w:szCs w:val="18"/>
              </w:rPr>
              <w:t xml:space="preserve">6.2 </w:t>
            </w:r>
            <w:r>
              <w:rPr>
                <w:rFonts w:hint="eastAsia"/>
                <w:sz w:val="18"/>
                <w:szCs w:val="18"/>
                <w:lang w:val="en-US" w:eastAsia="zh-CN"/>
              </w:rPr>
              <w:t>/</w:t>
            </w:r>
            <w:r>
              <w:rPr>
                <w:rFonts w:hint="eastAsia"/>
                <w:sz w:val="18"/>
                <w:szCs w:val="18"/>
              </w:rPr>
              <w:t xml:space="preserve">7.1 </w:t>
            </w:r>
            <w:r>
              <w:rPr>
                <w:rFonts w:hint="eastAsia"/>
                <w:sz w:val="18"/>
                <w:szCs w:val="18"/>
                <w:lang w:val="en-US" w:eastAsia="zh-CN"/>
              </w:rPr>
              <w:t>/</w:t>
            </w:r>
            <w:r>
              <w:rPr>
                <w:rFonts w:hint="eastAsia"/>
                <w:sz w:val="18"/>
                <w:szCs w:val="18"/>
              </w:rPr>
              <w:t xml:space="preserve">7.4 </w:t>
            </w:r>
            <w:r>
              <w:rPr>
                <w:rFonts w:hint="eastAsia"/>
                <w:sz w:val="18"/>
                <w:szCs w:val="18"/>
                <w:lang w:val="en-US" w:eastAsia="zh-CN"/>
              </w:rPr>
              <w:t>/9.1.1/9.2/</w:t>
            </w:r>
            <w:r>
              <w:rPr>
                <w:rFonts w:hint="eastAsia"/>
                <w:sz w:val="18"/>
                <w:szCs w:val="18"/>
              </w:rPr>
              <w:t xml:space="preserve">9.3 </w:t>
            </w:r>
            <w:r>
              <w:rPr>
                <w:rFonts w:hint="eastAsia"/>
                <w:sz w:val="18"/>
                <w:szCs w:val="18"/>
                <w:lang w:val="en-US" w:eastAsia="zh-CN"/>
              </w:rPr>
              <w:t>/</w:t>
            </w:r>
            <w:r>
              <w:rPr>
                <w:rFonts w:hint="eastAsia"/>
                <w:sz w:val="18"/>
                <w:szCs w:val="18"/>
              </w:rPr>
              <w:t>10.1</w:t>
            </w:r>
            <w:r>
              <w:rPr>
                <w:rFonts w:hint="eastAsia"/>
                <w:sz w:val="18"/>
                <w:szCs w:val="18"/>
                <w:lang w:val="en-US" w:eastAsia="zh-CN"/>
              </w:rPr>
              <w:t>/10.3</w:t>
            </w:r>
          </w:p>
          <w:p>
            <w:pPr>
              <w:keepNext w:val="0"/>
              <w:keepLines w:val="0"/>
              <w:pageBreakBefore w:val="0"/>
              <w:widowControl w:val="0"/>
              <w:tabs>
                <w:tab w:val="left" w:pos="709"/>
              </w:tabs>
              <w:kinsoku/>
              <w:wordWrap/>
              <w:overflowPunct/>
              <w:topLinePunct w:val="0"/>
              <w:autoSpaceDE/>
              <w:autoSpaceDN/>
              <w:bidi w:val="0"/>
              <w:adjustRightInd/>
              <w:snapToGrid/>
              <w:spacing w:line="240" w:lineRule="auto"/>
              <w:ind w:right="57" w:firstLine="0" w:firstLineChars="0"/>
              <w:jc w:val="left"/>
              <w:textAlignment w:val="auto"/>
              <w:rPr>
                <w:rFonts w:hint="default" w:eastAsia="宋体"/>
                <w:sz w:val="21"/>
                <w:szCs w:val="21"/>
                <w:lang w:val="en-US" w:eastAsia="zh-CN"/>
              </w:rPr>
            </w:pPr>
            <w:r>
              <w:rPr>
                <w:rFonts w:hint="eastAsia"/>
                <w:sz w:val="21"/>
                <w:szCs w:val="21"/>
              </w:rPr>
              <w:t>（内外部因素、相关方的需求和期望、体系策划过程、管理承诺相关过程、资源提供过程、内外部沟通、管理评审过程、产品实现策划、顾客投诉处理、监视和测量规划和持续改进等）</w:t>
            </w:r>
            <w:r>
              <w:rPr>
                <w:rFonts w:hint="eastAsia"/>
                <w:sz w:val="21"/>
                <w:szCs w:val="21"/>
                <w:lang w:eastAsia="zh-CN"/>
              </w:rPr>
              <w:t>、</w:t>
            </w:r>
            <w:r>
              <w:rPr>
                <w:rFonts w:hint="eastAsia"/>
                <w:sz w:val="21"/>
                <w:szCs w:val="21"/>
                <w:lang w:val="en-US" w:eastAsia="zh-CN"/>
              </w:rPr>
              <w:t>改进</w:t>
            </w:r>
          </w:p>
          <w:p>
            <w:pPr>
              <w:keepNext w:val="0"/>
              <w:keepLines w:val="0"/>
              <w:pageBreakBefore w:val="0"/>
              <w:widowControl w:val="0"/>
              <w:tabs>
                <w:tab w:val="left" w:pos="709"/>
              </w:tabs>
              <w:kinsoku/>
              <w:wordWrap/>
              <w:overflowPunct/>
              <w:topLinePunct w:val="0"/>
              <w:autoSpaceDE/>
              <w:autoSpaceDN/>
              <w:bidi w:val="0"/>
              <w:adjustRightInd/>
              <w:snapToGrid/>
              <w:spacing w:line="240" w:lineRule="auto"/>
              <w:ind w:right="57" w:firstLine="0" w:firstLineChars="0"/>
              <w:jc w:val="left"/>
              <w:textAlignment w:val="auto"/>
              <w:rPr>
                <w:sz w:val="21"/>
                <w:szCs w:val="21"/>
              </w:rPr>
            </w:pPr>
            <w:r>
              <w:rPr>
                <w:rFonts w:hint="eastAsia"/>
                <w:sz w:val="21"/>
                <w:szCs w:val="21"/>
              </w:rPr>
              <w:t>对一阶段问题整改情况的确认；事故事件及起处理情况，质量、环境安全监测情况、使用情况等</w:t>
            </w:r>
          </w:p>
        </w:tc>
        <w:tc>
          <w:tcPr>
            <w:tcW w:w="1585" w:type="dxa"/>
            <w:vMerge w:val="continue"/>
          </w:tcPr>
          <w:p>
            <w:pPr>
              <w:keepLines w:val="0"/>
              <w:pageBreakBefore w:val="0"/>
              <w:widowControl w:val="0"/>
              <w:kinsoku/>
              <w:wordWrap/>
              <w:overflowPunct/>
              <w:topLinePunct w:val="0"/>
              <w:autoSpaceDE/>
              <w:autoSpaceDN/>
              <w:bidi w:val="0"/>
              <w:adjustRightInd/>
              <w:spacing w:line="240" w:lineRule="auto"/>
              <w:ind w:firstLine="420" w:firstLineChars="200"/>
              <w:textAlignment w:val="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2122"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sz w:val="21"/>
                <w:szCs w:val="21"/>
              </w:rPr>
            </w:pPr>
            <w:r>
              <w:rPr>
                <w:rFonts w:hint="eastAsia"/>
                <w:sz w:val="21"/>
                <w:szCs w:val="21"/>
              </w:rPr>
              <w:t>理解组织及其环境</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sz w:val="21"/>
                <w:szCs w:val="21"/>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sz w:val="21"/>
                <w:szCs w:val="21"/>
              </w:rPr>
            </w:pPr>
            <w:r>
              <w:rPr>
                <w:rFonts w:hint="eastAsia"/>
                <w:sz w:val="21"/>
                <w:szCs w:val="21"/>
              </w:rPr>
              <w:t>确定管理体系的范围</w:t>
            </w:r>
          </w:p>
        </w:tc>
        <w:tc>
          <w:tcPr>
            <w:tcW w:w="998"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宋体" w:hAnsi="宋体" w:cs="宋体"/>
                <w:sz w:val="21"/>
                <w:szCs w:val="21"/>
              </w:rPr>
            </w:pPr>
            <w:r>
              <w:rPr>
                <w:rFonts w:hint="eastAsia" w:ascii="宋体" w:hAnsi="宋体" w:cs="宋体"/>
                <w:sz w:val="21"/>
                <w:szCs w:val="21"/>
              </w:rPr>
              <w:t>EO</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宋体" w:hAnsi="宋体" w:cs="宋体"/>
                <w:sz w:val="21"/>
                <w:szCs w:val="21"/>
              </w:rPr>
            </w:pPr>
            <w:r>
              <w:rPr>
                <w:rFonts w:hint="eastAsia" w:ascii="宋体" w:hAnsi="宋体" w:cs="宋体"/>
                <w:sz w:val="21"/>
                <w:szCs w:val="21"/>
              </w:rPr>
              <w:t>4.1</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宋体" w:hAnsi="宋体" w:cs="宋体"/>
                <w:sz w:val="21"/>
                <w:szCs w:val="21"/>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宋体" w:hAnsi="宋体" w:cs="宋体"/>
                <w:sz w:val="21"/>
                <w:szCs w:val="21"/>
              </w:rPr>
            </w:pPr>
            <w:r>
              <w:rPr>
                <w:rFonts w:hint="eastAsia" w:ascii="宋体" w:hAnsi="宋体" w:cs="宋体"/>
                <w:sz w:val="21"/>
                <w:szCs w:val="21"/>
              </w:rPr>
              <w:t>EO</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宋体" w:hAnsi="宋体" w:cs="宋体"/>
                <w:sz w:val="21"/>
                <w:szCs w:val="21"/>
              </w:rPr>
            </w:pPr>
            <w:r>
              <w:rPr>
                <w:rFonts w:hint="eastAsia" w:ascii="宋体" w:hAnsi="宋体" w:cs="宋体"/>
                <w:sz w:val="21"/>
                <w:szCs w:val="21"/>
              </w:rPr>
              <w:t>4.3</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宋体" w:hAnsi="宋体" w:cs="宋体"/>
                <w:sz w:val="21"/>
                <w:szCs w:val="21"/>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sz w:val="21"/>
                <w:szCs w:val="21"/>
              </w:rPr>
            </w:pPr>
            <w:r>
              <w:rPr>
                <w:rFonts w:hint="eastAsia"/>
                <w:sz w:val="21"/>
                <w:szCs w:val="21"/>
              </w:rPr>
              <w:t>故事件及起处理情况，</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sz w:val="21"/>
                <w:szCs w:val="21"/>
              </w:rPr>
            </w:pPr>
            <w:r>
              <w:rPr>
                <w:rFonts w:hint="eastAsia"/>
                <w:sz w:val="21"/>
                <w:szCs w:val="21"/>
              </w:rPr>
              <w:t>质量、环境安全监测情况、使用情况等</w:t>
            </w:r>
          </w:p>
        </w:tc>
        <w:tc>
          <w:tcPr>
            <w:tcW w:w="10004" w:type="dxa"/>
            <w:vAlign w:val="center"/>
          </w:tcPr>
          <w:p>
            <w:pPr>
              <w:keepLines w:val="0"/>
              <w:pageBreakBefore w:val="0"/>
              <w:widowControl w:val="0"/>
              <w:kinsoku/>
              <w:wordWrap/>
              <w:overflowPunct/>
              <w:topLinePunct w:val="0"/>
              <w:autoSpaceDE/>
              <w:autoSpaceDN/>
              <w:bidi w:val="0"/>
              <w:adjustRightInd/>
              <w:spacing w:line="240" w:lineRule="auto"/>
              <w:ind w:firstLine="420" w:firstLineChars="200"/>
              <w:textAlignment w:val="auto"/>
              <w:rPr>
                <w:rFonts w:ascii="宋体" w:hAnsi="宋体" w:cs="宋体"/>
                <w:sz w:val="21"/>
                <w:szCs w:val="21"/>
                <w:highlight w:val="none"/>
              </w:rPr>
            </w:pPr>
            <w:r>
              <w:rPr>
                <w:rFonts w:hint="eastAsia" w:ascii="宋体" w:hAnsi="宋体" w:cs="宋体"/>
                <w:sz w:val="21"/>
                <w:szCs w:val="21"/>
                <w:highlight w:val="none"/>
              </w:rPr>
              <w:t>该公司</w:t>
            </w:r>
            <w:r>
              <w:rPr>
                <w:rFonts w:hint="eastAsia" w:ascii="宋体" w:hAnsi="宋体" w:cs="宋体"/>
                <w:sz w:val="21"/>
                <w:szCs w:val="21"/>
                <w:highlight w:val="none"/>
                <w:lang w:val="en-US" w:eastAsia="zh-CN"/>
              </w:rPr>
              <w:t>成立日期2007年3月14日，营业期限</w:t>
            </w:r>
            <w:r>
              <w:rPr>
                <w:rFonts w:hint="eastAsia" w:ascii="宋体" w:hAnsi="宋体" w:cs="宋体"/>
                <w:sz w:val="21"/>
                <w:szCs w:val="21"/>
                <w:highlight w:val="none"/>
              </w:rPr>
              <w:t>注册，法人</w:t>
            </w:r>
            <w:r>
              <w:rPr>
                <w:rFonts w:hint="eastAsia" w:ascii="宋体" w:hAnsi="宋体" w:cs="宋体"/>
                <w:sz w:val="21"/>
                <w:szCs w:val="21"/>
                <w:highlight w:val="none"/>
                <w:lang w:val="en-US" w:eastAsia="zh-CN"/>
              </w:rPr>
              <w:t>代表</w:t>
            </w:r>
            <w:r>
              <w:rPr>
                <w:rFonts w:hint="eastAsia" w:ascii="宋体" w:hAnsi="宋体" w:cs="宋体"/>
                <w:sz w:val="21"/>
                <w:szCs w:val="21"/>
                <w:highlight w:val="none"/>
              </w:rPr>
              <w:t>：</w:t>
            </w:r>
            <w:r>
              <w:rPr>
                <w:rFonts w:hint="eastAsia" w:ascii="宋体" w:hAnsi="宋体" w:cs="宋体"/>
                <w:sz w:val="21"/>
                <w:szCs w:val="21"/>
                <w:highlight w:val="none"/>
                <w:lang w:val="en-US" w:eastAsia="zh-CN"/>
              </w:rPr>
              <w:t>王永法</w:t>
            </w:r>
            <w:r>
              <w:rPr>
                <w:rFonts w:hint="eastAsia" w:ascii="宋体" w:hAnsi="宋体" w:cs="宋体"/>
                <w:sz w:val="21"/>
                <w:szCs w:val="21"/>
                <w:highlight w:val="none"/>
              </w:rPr>
              <w:t>，总经理：</w:t>
            </w:r>
            <w:r>
              <w:rPr>
                <w:rFonts w:hint="eastAsia" w:ascii="宋体" w:hAnsi="宋体" w:cs="宋体"/>
                <w:sz w:val="21"/>
                <w:szCs w:val="21"/>
                <w:highlight w:val="none"/>
                <w:lang w:val="en-US" w:eastAsia="zh-CN"/>
              </w:rPr>
              <w:t>王永法</w:t>
            </w:r>
            <w:r>
              <w:rPr>
                <w:rFonts w:hint="eastAsia" w:ascii="宋体" w:hAnsi="宋体" w:cs="宋体"/>
                <w:sz w:val="21"/>
                <w:szCs w:val="21"/>
                <w:highlight w:val="none"/>
              </w:rPr>
              <w:t>。</w:t>
            </w:r>
          </w:p>
          <w:p>
            <w:pPr>
              <w:keepLines w:val="0"/>
              <w:pageBreakBefore w:val="0"/>
              <w:widowControl w:val="0"/>
              <w:kinsoku/>
              <w:wordWrap/>
              <w:overflowPunct/>
              <w:topLinePunct w:val="0"/>
              <w:autoSpaceDE/>
              <w:autoSpaceDN/>
              <w:bidi w:val="0"/>
              <w:adjustRightInd/>
              <w:spacing w:line="24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注册地址：</w:t>
            </w:r>
            <w:bookmarkStart w:id="0" w:name="注册地址"/>
            <w:r>
              <w:rPr>
                <w:rFonts w:hint="eastAsia" w:ascii="宋体" w:hAnsi="宋体" w:eastAsia="宋体" w:cs="宋体"/>
                <w:sz w:val="21"/>
                <w:szCs w:val="21"/>
                <w:highlight w:val="none"/>
              </w:rPr>
              <w:t>台州市临海市浙江头门港经济开发区建港路18号</w:t>
            </w:r>
            <w:bookmarkEnd w:id="0"/>
            <w:r>
              <w:rPr>
                <w:rFonts w:hint="eastAsia" w:ascii="宋体" w:hAnsi="宋体" w:eastAsia="宋体" w:cs="宋体"/>
                <w:sz w:val="21"/>
                <w:szCs w:val="21"/>
                <w:highlight w:val="none"/>
              </w:rPr>
              <w:t>；</w:t>
            </w:r>
          </w:p>
          <w:p>
            <w:pPr>
              <w:keepLines w:val="0"/>
              <w:pageBreakBefore w:val="0"/>
              <w:widowControl w:val="0"/>
              <w:kinsoku/>
              <w:wordWrap/>
              <w:overflowPunct/>
              <w:topLinePunct w:val="0"/>
              <w:autoSpaceDE/>
              <w:autoSpaceDN/>
              <w:bidi w:val="0"/>
              <w:adjustRightInd/>
              <w:spacing w:line="24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生产</w:t>
            </w:r>
            <w:r>
              <w:rPr>
                <w:rFonts w:hint="eastAsia" w:ascii="宋体" w:hAnsi="宋体" w:eastAsia="宋体" w:cs="宋体"/>
                <w:sz w:val="21"/>
                <w:szCs w:val="21"/>
                <w:highlight w:val="none"/>
              </w:rPr>
              <w:t>经营地址：台州市临海市浙江头门港经济开发区建港路18号；</w:t>
            </w:r>
          </w:p>
          <w:p>
            <w:pPr>
              <w:keepLines w:val="0"/>
              <w:pageBreakBefore w:val="0"/>
              <w:widowControl w:val="0"/>
              <w:kinsoku/>
              <w:wordWrap/>
              <w:overflowPunct/>
              <w:topLinePunct w:val="0"/>
              <w:autoSpaceDE/>
              <w:autoSpaceDN/>
              <w:bidi w:val="0"/>
              <w:adjustRightInd/>
              <w:spacing w:line="240" w:lineRule="auto"/>
              <w:ind w:firstLine="420" w:firstLineChars="200"/>
              <w:textAlignment w:val="auto"/>
              <w:rPr>
                <w:rFonts w:hint="eastAsia" w:ascii="宋体" w:hAnsi="宋体" w:cs="宋体"/>
                <w:sz w:val="21"/>
                <w:szCs w:val="21"/>
                <w:highlight w:val="none"/>
              </w:rPr>
            </w:pPr>
            <w:r>
              <w:rPr>
                <w:rFonts w:hint="eastAsia" w:ascii="宋体" w:hAnsi="宋体" w:cs="宋体"/>
                <w:sz w:val="21"/>
                <w:szCs w:val="21"/>
                <w:highlight w:val="none"/>
              </w:rPr>
              <w:t>营业执照符合要求，住所与经营地址一致；</w:t>
            </w:r>
            <w:r>
              <w:rPr>
                <w:rFonts w:hint="eastAsia" w:ascii="宋体" w:hAnsi="宋体" w:cs="宋体"/>
                <w:sz w:val="21"/>
                <w:szCs w:val="21"/>
                <w:highlight w:val="none"/>
                <w:lang w:val="en-US" w:eastAsia="zh-CN"/>
              </w:rPr>
              <w:t>有效期</w:t>
            </w:r>
            <w:r>
              <w:rPr>
                <w:rFonts w:hint="eastAsia" w:ascii="宋体" w:hAnsi="宋体" w:cs="宋体"/>
                <w:sz w:val="21"/>
                <w:szCs w:val="21"/>
                <w:highlight w:val="none"/>
              </w:rPr>
              <w:t>20</w:t>
            </w:r>
            <w:r>
              <w:rPr>
                <w:rFonts w:hint="eastAsia" w:ascii="宋体" w:hAnsi="宋体" w:cs="宋体"/>
                <w:sz w:val="21"/>
                <w:szCs w:val="21"/>
                <w:highlight w:val="none"/>
                <w:lang w:val="en-US" w:eastAsia="zh-CN"/>
              </w:rPr>
              <w:t>07</w:t>
            </w:r>
            <w:r>
              <w:rPr>
                <w:rFonts w:hint="eastAsia" w:ascii="宋体" w:hAnsi="宋体" w:cs="宋体"/>
                <w:sz w:val="21"/>
                <w:szCs w:val="21"/>
                <w:highlight w:val="none"/>
              </w:rPr>
              <w:t>年</w:t>
            </w:r>
            <w:r>
              <w:rPr>
                <w:rFonts w:hint="eastAsia" w:ascii="宋体" w:hAnsi="宋体" w:cs="宋体"/>
                <w:sz w:val="21"/>
                <w:szCs w:val="21"/>
                <w:highlight w:val="none"/>
                <w:lang w:val="en-US" w:eastAsia="zh-CN"/>
              </w:rPr>
              <w:t>3月14日至长期</w:t>
            </w:r>
            <w:r>
              <w:rPr>
                <w:rFonts w:hint="eastAsia" w:ascii="宋体" w:hAnsi="宋体" w:cs="宋体"/>
                <w:sz w:val="21"/>
                <w:szCs w:val="21"/>
                <w:highlight w:val="none"/>
              </w:rPr>
              <w:t>，基本符合。</w:t>
            </w:r>
          </w:p>
          <w:p>
            <w:pPr>
              <w:pStyle w:val="16"/>
              <w:rPr>
                <w:rFonts w:hint="default" w:eastAsia="宋体"/>
                <w:lang w:val="en-US" w:eastAsia="zh-CN"/>
              </w:rPr>
            </w:pPr>
            <w:r>
              <w:rPr>
                <w:rFonts w:hint="eastAsia" w:ascii="宋体" w:hAnsi="宋体" w:cs="宋体"/>
                <w:sz w:val="21"/>
                <w:szCs w:val="21"/>
                <w:highlight w:val="none"/>
                <w:lang w:val="en-US" w:eastAsia="zh-CN"/>
              </w:rPr>
              <w:t xml:space="preserve">    </w:t>
            </w:r>
            <w:r>
              <w:rPr>
                <w:rFonts w:hint="eastAsia" w:ascii="宋体" w:hAnsi="宋体" w:eastAsia="宋体" w:cs="宋体"/>
                <w:bCs w:val="0"/>
                <w:spacing w:val="0"/>
                <w:kern w:val="2"/>
                <w:sz w:val="21"/>
                <w:szCs w:val="21"/>
                <w:highlight w:val="none"/>
                <w:lang w:val="en-US" w:eastAsia="zh-CN" w:bidi="ar-SA"/>
              </w:rPr>
              <w:t>公司获得全国工业产品生产许可证，编号：（浙）XK06-001-00239  ；  有效期： 2020-5-21</w:t>
            </w:r>
            <w:r>
              <w:rPr>
                <w:rFonts w:hint="default" w:ascii="Microsoft Tai Le" w:hAnsi="Microsoft Tai Le" w:eastAsia="宋体" w:cs="Microsoft Tai Le"/>
                <w:bCs w:val="0"/>
                <w:spacing w:val="0"/>
                <w:kern w:val="2"/>
                <w:sz w:val="21"/>
                <w:szCs w:val="21"/>
                <w:highlight w:val="none"/>
                <w:lang w:val="en-US" w:eastAsia="zh-CN" w:bidi="ar-SA"/>
              </w:rPr>
              <w:t>~</w:t>
            </w:r>
            <w:r>
              <w:rPr>
                <w:rFonts w:hint="eastAsia" w:ascii="宋体" w:hAnsi="宋体" w:eastAsia="宋体" w:cs="宋体"/>
                <w:bCs w:val="0"/>
                <w:spacing w:val="0"/>
                <w:kern w:val="2"/>
                <w:sz w:val="21"/>
                <w:szCs w:val="21"/>
                <w:highlight w:val="none"/>
                <w:lang w:val="en-US" w:eastAsia="zh-CN" w:bidi="ar-SA"/>
              </w:rPr>
              <w:t>202</w:t>
            </w:r>
            <w:r>
              <w:rPr>
                <w:rFonts w:hint="eastAsia" w:ascii="宋体" w:hAnsi="宋体" w:cs="宋体"/>
                <w:bCs w:val="0"/>
                <w:spacing w:val="0"/>
                <w:kern w:val="2"/>
                <w:sz w:val="21"/>
                <w:szCs w:val="21"/>
                <w:highlight w:val="none"/>
                <w:lang w:val="en-US" w:eastAsia="zh-CN" w:bidi="ar-SA"/>
              </w:rPr>
              <w:t>5</w:t>
            </w:r>
            <w:r>
              <w:rPr>
                <w:rFonts w:hint="eastAsia" w:ascii="宋体" w:hAnsi="宋体" w:eastAsia="宋体" w:cs="宋体"/>
                <w:bCs w:val="0"/>
                <w:spacing w:val="0"/>
                <w:kern w:val="2"/>
                <w:sz w:val="21"/>
                <w:szCs w:val="21"/>
                <w:highlight w:val="none"/>
                <w:lang w:val="en-US" w:eastAsia="zh-CN" w:bidi="ar-SA"/>
              </w:rPr>
              <w:t>-5-20 ，获得许可的产品为：电线电缆（塑料绝缘控制电缆、挤包绝缘低压电缆、架空绝缘电缆）；获得4张CCC强制性产品认证证书。（详见证实性证据）</w:t>
            </w:r>
          </w:p>
          <w:p>
            <w:pPr>
              <w:keepLines w:val="0"/>
              <w:pageBreakBefore w:val="0"/>
              <w:widowControl w:val="0"/>
              <w:kinsoku/>
              <w:wordWrap/>
              <w:overflowPunct/>
              <w:topLinePunct w:val="0"/>
              <w:autoSpaceDE/>
              <w:autoSpaceDN/>
              <w:bidi w:val="0"/>
              <w:adjustRightInd/>
              <w:spacing w:line="24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rPr>
              <w:t>认证范围为：</w:t>
            </w:r>
          </w:p>
          <w:p>
            <w:pPr>
              <w:keepLines w:val="0"/>
              <w:pageBreakBefore w:val="0"/>
              <w:widowControl w:val="0"/>
              <w:kinsoku/>
              <w:wordWrap/>
              <w:overflowPunct/>
              <w:topLinePunct w:val="0"/>
              <w:autoSpaceDE/>
              <w:autoSpaceDN/>
              <w:bidi w:val="0"/>
              <w:adjustRightInd/>
              <w:spacing w:line="240" w:lineRule="auto"/>
              <w:ind w:firstLine="420" w:firstLineChars="200"/>
              <w:textAlignment w:val="auto"/>
              <w:rPr>
                <w:rFonts w:hint="eastAsia" w:ascii="宋体" w:hAnsi="宋体" w:cs="宋体"/>
                <w:sz w:val="21"/>
                <w:szCs w:val="21"/>
              </w:rPr>
            </w:pPr>
            <w:bookmarkStart w:id="1" w:name="审核范围"/>
            <w:r>
              <w:rPr>
                <w:rFonts w:hint="eastAsia" w:ascii="宋体" w:hAnsi="宋体" w:cs="宋体"/>
                <w:sz w:val="21"/>
                <w:szCs w:val="21"/>
              </w:rPr>
              <w:t>E：资质许可范围内额定电压450V/750V及以下聚氯乙烯绝缘电线电缆、塑料绝缘控制电缆、额定电压≤35KV挤包绝缘电力电缆、额定电压≤10KV架空绝缘电缆的研发、生产所涉及场所的相关环境管理活动</w:t>
            </w:r>
          </w:p>
          <w:p>
            <w:pPr>
              <w:keepLines w:val="0"/>
              <w:pageBreakBefore w:val="0"/>
              <w:widowControl w:val="0"/>
              <w:kinsoku/>
              <w:wordWrap/>
              <w:overflowPunct/>
              <w:topLinePunct w:val="0"/>
              <w:autoSpaceDE/>
              <w:autoSpaceDN/>
              <w:bidi w:val="0"/>
              <w:adjustRightInd/>
              <w:spacing w:line="240" w:lineRule="auto"/>
              <w:ind w:firstLine="420" w:firstLineChars="200"/>
              <w:textAlignment w:val="auto"/>
              <w:rPr>
                <w:rFonts w:hint="eastAsia" w:ascii="宋体" w:hAnsi="宋体" w:cs="宋体"/>
                <w:sz w:val="21"/>
                <w:szCs w:val="21"/>
              </w:rPr>
            </w:pPr>
            <w:r>
              <w:rPr>
                <w:rFonts w:hint="eastAsia" w:ascii="宋体" w:hAnsi="宋体" w:cs="宋体"/>
                <w:sz w:val="21"/>
                <w:szCs w:val="21"/>
              </w:rPr>
              <w:t>O：资质许可范围内额定电压450V/750V及以下聚氯乙烯绝缘电线电缆、塑料绝缘控制电缆、额定电压≤35KV挤包绝缘电力电缆、额定电压≤10KV架空绝缘电缆的研发、生产所涉及场所的相关职业健康安全管理活动</w:t>
            </w:r>
            <w:bookmarkEnd w:id="1"/>
          </w:p>
          <w:p>
            <w:pPr>
              <w:keepLines w:val="0"/>
              <w:pageBreakBefore w:val="0"/>
              <w:widowControl w:val="0"/>
              <w:kinsoku/>
              <w:wordWrap/>
              <w:overflowPunct/>
              <w:topLinePunct w:val="0"/>
              <w:autoSpaceDE/>
              <w:autoSpaceDN/>
              <w:bidi w:val="0"/>
              <w:adjustRightInd/>
              <w:spacing w:line="240" w:lineRule="auto"/>
              <w:ind w:firstLine="420" w:firstLineChars="200"/>
              <w:textAlignment w:val="auto"/>
              <w:rPr>
                <w:rFonts w:hint="default" w:ascii="宋体" w:hAnsi="宋体" w:cs="宋体"/>
                <w:sz w:val="21"/>
                <w:szCs w:val="21"/>
                <w:lang w:val="en-US" w:eastAsia="zh-CN"/>
              </w:rPr>
            </w:pPr>
            <w:r>
              <w:rPr>
                <w:rFonts w:hint="eastAsia" w:ascii="宋体" w:hAnsi="宋体" w:cs="宋体"/>
                <w:sz w:val="21"/>
                <w:szCs w:val="21"/>
              </w:rPr>
              <w:t>公司管理体系设置了</w:t>
            </w:r>
            <w:r>
              <w:rPr>
                <w:rFonts w:hint="eastAsia" w:ascii="宋体" w:hAnsi="宋体" w:cs="宋体"/>
                <w:sz w:val="21"/>
                <w:szCs w:val="21"/>
                <w:lang w:val="en-US" w:eastAsia="zh-CN"/>
              </w:rPr>
              <w:t>行政部、生产部、技术部、质检部、销售部、采购部、财务部</w:t>
            </w:r>
            <w:r>
              <w:rPr>
                <w:rFonts w:hint="eastAsia" w:ascii="宋体" w:hAnsi="宋体" w:cs="宋体"/>
                <w:sz w:val="21"/>
                <w:szCs w:val="21"/>
              </w:rPr>
              <w:t>。</w:t>
            </w:r>
            <w:r>
              <w:rPr>
                <w:rFonts w:hint="eastAsia" w:ascii="宋体" w:hAnsi="宋体" w:cs="宋体"/>
                <w:sz w:val="21"/>
                <w:szCs w:val="21"/>
                <w:lang w:val="en-US" w:eastAsia="zh-CN"/>
              </w:rPr>
              <w:t>提供了[临环审（2018）96号]环境影响报告表的批复，编号为20211015《台州市生态环境局建设项目环保设施竣工企业自行验收备案表》。</w:t>
            </w:r>
          </w:p>
          <w:p>
            <w:pPr>
              <w:keepLines w:val="0"/>
              <w:pageBreakBefore w:val="0"/>
              <w:widowControl w:val="0"/>
              <w:kinsoku/>
              <w:wordWrap/>
              <w:overflowPunct/>
              <w:topLinePunct w:val="0"/>
              <w:autoSpaceDE/>
              <w:autoSpaceDN/>
              <w:bidi w:val="0"/>
              <w:adjustRightInd/>
              <w:spacing w:line="240" w:lineRule="auto"/>
              <w:ind w:firstLine="420" w:firstLineChars="200"/>
              <w:textAlignment w:val="auto"/>
              <w:rPr>
                <w:rFonts w:ascii="宋体" w:hAnsi="宋体" w:cs="宋体"/>
                <w:sz w:val="21"/>
                <w:szCs w:val="21"/>
              </w:rPr>
            </w:pPr>
            <w:r>
              <w:rPr>
                <w:rFonts w:hint="eastAsia" w:ascii="宋体" w:hAnsi="宋体" w:cs="宋体"/>
                <w:sz w:val="21"/>
                <w:szCs w:val="21"/>
              </w:rPr>
              <w:t>公司推行环境和职业健康安全管理体系的目的就是提高公司市场准入。总经理确定与本公司管理目标和战略方向相关并影响实现管理体系预期结果的各种内部因素和外部因素（国家、地区和当地的各种法律法规、技术、竞争、文化和社会因素等）。这些因素包括了需要考虑的正面和负面因素或条件。公司每年</w:t>
            </w:r>
            <w:r>
              <w:rPr>
                <w:rFonts w:hint="eastAsia" w:ascii="宋体" w:hAnsi="宋体" w:cs="宋体"/>
                <w:sz w:val="21"/>
                <w:szCs w:val="21"/>
                <w:lang w:eastAsia="zh-CN"/>
              </w:rPr>
              <w:t>办公室</w:t>
            </w:r>
            <w:r>
              <w:rPr>
                <w:rFonts w:hint="eastAsia" w:ascii="宋体" w:hAnsi="宋体" w:cs="宋体"/>
                <w:sz w:val="21"/>
                <w:szCs w:val="21"/>
              </w:rPr>
              <w:t>根据由公司各部门的行政、采购、销售等人员从政府、供应商、市场、客户、网络等搜集到的信息并结合公司自身业务运作情况进行分析，通过分析对这些内部和外部因素的相关信息进行监视和评审以确保其充分和适宜。</w:t>
            </w:r>
          </w:p>
          <w:p>
            <w:pPr>
              <w:keepLines w:val="0"/>
              <w:pageBreakBefore w:val="0"/>
              <w:widowControl w:val="0"/>
              <w:kinsoku/>
              <w:wordWrap/>
              <w:overflowPunct/>
              <w:topLinePunct w:val="0"/>
              <w:autoSpaceDE/>
              <w:autoSpaceDN/>
              <w:bidi w:val="0"/>
              <w:adjustRightInd/>
              <w:spacing w:line="240" w:lineRule="auto"/>
              <w:ind w:firstLine="420" w:firstLineChars="200"/>
              <w:textAlignment w:val="auto"/>
              <w:rPr>
                <w:rFonts w:hint="eastAsia" w:ascii="宋体" w:hAnsi="宋体" w:eastAsia="宋体" w:cs="宋体"/>
                <w:sz w:val="21"/>
                <w:szCs w:val="21"/>
                <w:lang w:val="en-US" w:eastAsia="zh-CN"/>
              </w:rPr>
            </w:pPr>
            <w:r>
              <w:rPr>
                <w:rFonts w:hint="eastAsia" w:ascii="宋体" w:hAnsi="宋体" w:cs="宋体"/>
                <w:sz w:val="21"/>
                <w:szCs w:val="21"/>
              </w:rPr>
              <w:t>询问总经理，体系运</w:t>
            </w:r>
            <w:r>
              <w:rPr>
                <w:rFonts w:hint="eastAsia" w:ascii="宋体" w:hAnsi="宋体" w:cs="宋体"/>
                <w:sz w:val="21"/>
                <w:szCs w:val="21"/>
                <w:highlight w:val="none"/>
              </w:rPr>
              <w:t>行以来，没有环境或职业健康安全事故等，无行业抽查等情况。</w:t>
            </w:r>
            <w:r>
              <w:rPr>
                <w:rFonts w:hint="eastAsia" w:ascii="宋体" w:hAnsi="宋体" w:cs="宋体"/>
                <w:szCs w:val="21"/>
                <w:highlight w:val="none"/>
              </w:rPr>
              <w:t>目前公司共有</w:t>
            </w:r>
            <w:r>
              <w:rPr>
                <w:rFonts w:hint="eastAsia" w:ascii="宋体" w:hAnsi="宋体" w:cs="宋体"/>
                <w:szCs w:val="21"/>
                <w:highlight w:val="none"/>
                <w:lang w:val="en-US" w:eastAsia="zh-CN"/>
              </w:rPr>
              <w:t>125</w:t>
            </w:r>
            <w:r>
              <w:rPr>
                <w:rFonts w:hint="eastAsia" w:ascii="宋体" w:hAnsi="宋体" w:cs="宋体"/>
                <w:szCs w:val="21"/>
                <w:highlight w:val="none"/>
              </w:rPr>
              <w:t>人，与申请基本一致。</w:t>
            </w:r>
          </w:p>
        </w:tc>
        <w:tc>
          <w:tcPr>
            <w:tcW w:w="1585" w:type="dxa"/>
          </w:tcPr>
          <w:p>
            <w:pPr>
              <w:keepLines w:val="0"/>
              <w:pageBreakBefore w:val="0"/>
              <w:widowControl w:val="0"/>
              <w:kinsoku/>
              <w:wordWrap/>
              <w:overflowPunct/>
              <w:topLinePunct w:val="0"/>
              <w:autoSpaceDE/>
              <w:autoSpaceDN/>
              <w:bidi w:val="0"/>
              <w:adjustRightInd/>
              <w:spacing w:line="240" w:lineRule="auto"/>
              <w:textAlignment w:val="auto"/>
              <w:rPr>
                <w:sz w:val="21"/>
                <w:szCs w:val="21"/>
              </w:rPr>
            </w:pPr>
            <w:r>
              <w:rPr>
                <w:rFonts w:hint="eastAsia"/>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22"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sz w:val="21"/>
                <w:szCs w:val="21"/>
              </w:rPr>
            </w:pPr>
            <w:r>
              <w:rPr>
                <w:rFonts w:hint="eastAsia"/>
                <w:sz w:val="21"/>
                <w:szCs w:val="21"/>
              </w:rPr>
              <w:t>理解相关方的需求和期望</w:t>
            </w:r>
          </w:p>
        </w:tc>
        <w:tc>
          <w:tcPr>
            <w:tcW w:w="998"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sz w:val="21"/>
                <w:szCs w:val="21"/>
              </w:rPr>
            </w:pPr>
            <w:r>
              <w:rPr>
                <w:rFonts w:hint="eastAsia"/>
                <w:sz w:val="21"/>
                <w:szCs w:val="21"/>
              </w:rPr>
              <w:t>EO4.2</w:t>
            </w:r>
          </w:p>
        </w:tc>
        <w:tc>
          <w:tcPr>
            <w:tcW w:w="10004" w:type="dxa"/>
            <w:vAlign w:val="center"/>
          </w:tcPr>
          <w:p>
            <w:pPr>
              <w:keepLines w:val="0"/>
              <w:pageBreakBefore w:val="0"/>
              <w:widowControl w:val="0"/>
              <w:kinsoku/>
              <w:wordWrap/>
              <w:overflowPunct/>
              <w:topLinePunct w:val="0"/>
              <w:autoSpaceDE/>
              <w:autoSpaceDN/>
              <w:bidi w:val="0"/>
              <w:adjustRightInd/>
              <w:spacing w:line="240" w:lineRule="auto"/>
              <w:ind w:firstLine="420" w:firstLineChars="200"/>
              <w:textAlignment w:val="auto"/>
              <w:rPr>
                <w:rFonts w:ascii="宋体" w:hAnsi="宋体" w:cs="宋体"/>
                <w:sz w:val="21"/>
                <w:szCs w:val="21"/>
              </w:rPr>
            </w:pPr>
            <w:r>
              <w:rPr>
                <w:rFonts w:hint="eastAsia" w:ascii="宋体" w:hAnsi="宋体" w:cs="宋体"/>
                <w:sz w:val="21"/>
                <w:szCs w:val="21"/>
              </w:rPr>
              <w:t>公司主要对与环境职业健康安全相关的各相关方及其要求的相关信息进行监视和评审，以便于理解和持续满足相关方的需求和期望。</w:t>
            </w:r>
          </w:p>
          <w:p>
            <w:pPr>
              <w:keepLines w:val="0"/>
              <w:pageBreakBefore w:val="0"/>
              <w:widowControl w:val="0"/>
              <w:kinsoku/>
              <w:wordWrap/>
              <w:overflowPunct/>
              <w:topLinePunct w:val="0"/>
              <w:autoSpaceDE/>
              <w:autoSpaceDN/>
              <w:bidi w:val="0"/>
              <w:adjustRightInd/>
              <w:spacing w:line="240" w:lineRule="auto"/>
              <w:ind w:firstLine="420" w:firstLineChars="200"/>
              <w:textAlignment w:val="auto"/>
              <w:rPr>
                <w:rFonts w:ascii="宋体" w:hAnsi="宋体" w:cs="宋体"/>
                <w:sz w:val="21"/>
                <w:szCs w:val="21"/>
              </w:rPr>
            </w:pPr>
            <w:r>
              <w:rPr>
                <w:rFonts w:hint="eastAsia" w:ascii="宋体" w:hAnsi="宋体" w:cs="宋体"/>
                <w:sz w:val="21"/>
                <w:szCs w:val="21"/>
              </w:rPr>
              <w:t>本公司考虑以下相关方：--顾客；--最终用户或受益人；---供方；--员工及其他为组织工作者；--法律法规及监管机关；--审核机构等；--非政府组织等；并根据各相关方识别了相应的需求和期望，明确了监测指标，监测频次，监控部门等。如顾客主要产品质量符合、交货及时、价格合理；政府职能部门主要是确保安全生产、环保生产、就业最大化、经营效益好等。识别基本充分。</w:t>
            </w:r>
          </w:p>
        </w:tc>
        <w:tc>
          <w:tcPr>
            <w:tcW w:w="1585" w:type="dxa"/>
          </w:tcPr>
          <w:p>
            <w:pPr>
              <w:keepLines w:val="0"/>
              <w:pageBreakBefore w:val="0"/>
              <w:widowControl w:val="0"/>
              <w:kinsoku/>
              <w:wordWrap/>
              <w:overflowPunct/>
              <w:topLinePunct w:val="0"/>
              <w:autoSpaceDE/>
              <w:autoSpaceDN/>
              <w:bidi w:val="0"/>
              <w:adjustRightInd/>
              <w:spacing w:line="240" w:lineRule="auto"/>
              <w:textAlignment w:val="auto"/>
              <w:rPr>
                <w:sz w:val="21"/>
                <w:szCs w:val="21"/>
              </w:rPr>
            </w:pPr>
            <w:r>
              <w:rPr>
                <w:rFonts w:hint="eastAsia"/>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2122"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sz w:val="21"/>
                <w:szCs w:val="21"/>
              </w:rPr>
            </w:pPr>
            <w:r>
              <w:rPr>
                <w:rFonts w:hint="eastAsia"/>
                <w:sz w:val="21"/>
                <w:szCs w:val="21"/>
              </w:rPr>
              <w:t>环境/职业健康安全管理体系及其过程</w:t>
            </w:r>
          </w:p>
        </w:tc>
        <w:tc>
          <w:tcPr>
            <w:tcW w:w="998"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sz w:val="21"/>
                <w:szCs w:val="21"/>
              </w:rPr>
            </w:pPr>
            <w:r>
              <w:rPr>
                <w:rFonts w:hint="eastAsia"/>
                <w:sz w:val="21"/>
                <w:szCs w:val="21"/>
              </w:rPr>
              <w:t>EO4.4</w:t>
            </w:r>
          </w:p>
        </w:tc>
        <w:tc>
          <w:tcPr>
            <w:tcW w:w="10004" w:type="dxa"/>
          </w:tcPr>
          <w:p>
            <w:pPr>
              <w:keepLines w:val="0"/>
              <w:pageBreakBefore w:val="0"/>
              <w:widowControl w:val="0"/>
              <w:kinsoku/>
              <w:wordWrap/>
              <w:overflowPunct/>
              <w:topLinePunct w:val="0"/>
              <w:autoSpaceDE/>
              <w:autoSpaceDN/>
              <w:bidi w:val="0"/>
              <w:adjustRightInd/>
              <w:spacing w:line="240" w:lineRule="auto"/>
              <w:ind w:firstLine="420" w:firstLineChars="200"/>
              <w:textAlignment w:val="auto"/>
              <w:rPr>
                <w:sz w:val="21"/>
                <w:szCs w:val="21"/>
              </w:rPr>
            </w:pPr>
            <w:r>
              <w:rPr>
                <w:rFonts w:hint="eastAsia"/>
                <w:sz w:val="21"/>
                <w:szCs w:val="21"/>
              </w:rPr>
              <w:t>该公司 2021年</w:t>
            </w:r>
            <w:r>
              <w:rPr>
                <w:rFonts w:hint="eastAsia"/>
                <w:sz w:val="21"/>
                <w:szCs w:val="21"/>
                <w:lang w:val="en-US" w:eastAsia="zh-CN"/>
              </w:rPr>
              <w:t>1</w:t>
            </w:r>
            <w:r>
              <w:rPr>
                <w:rFonts w:hint="eastAsia"/>
                <w:sz w:val="21"/>
                <w:szCs w:val="21"/>
              </w:rPr>
              <w:t>月</w:t>
            </w:r>
            <w:r>
              <w:rPr>
                <w:rFonts w:hint="eastAsia"/>
                <w:sz w:val="21"/>
                <w:szCs w:val="21"/>
                <w:lang w:val="en-US" w:eastAsia="zh-CN"/>
              </w:rPr>
              <w:t>8</w:t>
            </w:r>
            <w:r>
              <w:rPr>
                <w:rFonts w:hint="eastAsia"/>
                <w:sz w:val="21"/>
                <w:szCs w:val="21"/>
              </w:rPr>
              <w:t>日根据自身的实际情况导入环境和职业健康安全管理标准体系，按照标准的要求组织人员编制了管理手册、作业文件和记录表格，制定了管理方针和管理目标。2</w:t>
            </w:r>
            <w:r>
              <w:rPr>
                <w:sz w:val="21"/>
                <w:szCs w:val="21"/>
              </w:rPr>
              <w:t>02</w:t>
            </w:r>
            <w:r>
              <w:rPr>
                <w:rFonts w:hint="eastAsia"/>
                <w:sz w:val="21"/>
                <w:szCs w:val="21"/>
                <w:lang w:val="en-US" w:eastAsia="zh-CN"/>
              </w:rPr>
              <w:t>1</w:t>
            </w:r>
            <w:r>
              <w:rPr>
                <w:rFonts w:hint="eastAsia"/>
                <w:sz w:val="21"/>
                <w:szCs w:val="21"/>
              </w:rPr>
              <w:t>年</w:t>
            </w:r>
            <w:r>
              <w:rPr>
                <w:rFonts w:hint="eastAsia"/>
                <w:sz w:val="21"/>
                <w:szCs w:val="21"/>
                <w:lang w:val="en-US" w:eastAsia="zh-CN"/>
              </w:rPr>
              <w:t>1</w:t>
            </w:r>
            <w:r>
              <w:rPr>
                <w:rFonts w:hint="eastAsia"/>
                <w:sz w:val="21"/>
                <w:szCs w:val="21"/>
              </w:rPr>
              <w:t>月</w:t>
            </w:r>
            <w:r>
              <w:rPr>
                <w:rFonts w:hint="eastAsia"/>
                <w:sz w:val="21"/>
                <w:szCs w:val="21"/>
                <w:lang w:val="en-US" w:eastAsia="zh-CN"/>
              </w:rPr>
              <w:t>8</w:t>
            </w:r>
            <w:r>
              <w:rPr>
                <w:rFonts w:hint="eastAsia"/>
                <w:sz w:val="21"/>
                <w:szCs w:val="21"/>
              </w:rPr>
              <w:t>日开始实施管理体系，通过对过程检测结果进行分析管理体系得以不断改进。负责人说管理体系运行以来效果不错管理有了一定的提高。对各项管理目标完成情况进行统计分析，出示了自体系运行以来各管理目标分解及完成情况记录。</w:t>
            </w:r>
          </w:p>
          <w:p>
            <w:pPr>
              <w:keepLines w:val="0"/>
              <w:pageBreakBefore w:val="0"/>
              <w:widowControl w:val="0"/>
              <w:kinsoku/>
              <w:wordWrap/>
              <w:overflowPunct/>
              <w:topLinePunct w:val="0"/>
              <w:autoSpaceDE/>
              <w:autoSpaceDN/>
              <w:bidi w:val="0"/>
              <w:adjustRightInd/>
              <w:spacing w:line="240" w:lineRule="auto"/>
              <w:ind w:firstLine="420" w:firstLineChars="200"/>
              <w:textAlignment w:val="auto"/>
              <w:rPr>
                <w:sz w:val="21"/>
                <w:szCs w:val="21"/>
              </w:rPr>
            </w:pPr>
            <w:r>
              <w:rPr>
                <w:rFonts w:hint="eastAsia"/>
                <w:sz w:val="21"/>
                <w:szCs w:val="21"/>
              </w:rPr>
              <w:t>与负责人交流：部门确定了满足与管理体系有关的客户及相关方的要求。</w:t>
            </w:r>
          </w:p>
          <w:p>
            <w:pPr>
              <w:keepLines w:val="0"/>
              <w:pageBreakBefore w:val="0"/>
              <w:widowControl w:val="0"/>
              <w:kinsoku/>
              <w:wordWrap/>
              <w:overflowPunct/>
              <w:topLinePunct w:val="0"/>
              <w:autoSpaceDE/>
              <w:autoSpaceDN/>
              <w:bidi w:val="0"/>
              <w:adjustRightInd/>
              <w:spacing w:line="240" w:lineRule="auto"/>
              <w:ind w:firstLine="420" w:firstLineChars="200"/>
              <w:textAlignment w:val="auto"/>
              <w:rPr>
                <w:sz w:val="21"/>
                <w:szCs w:val="21"/>
              </w:rPr>
            </w:pPr>
            <w:r>
              <w:rPr>
                <w:rFonts w:hint="eastAsia"/>
                <w:sz w:val="21"/>
                <w:szCs w:val="21"/>
              </w:rPr>
              <w:t>1.公司通过监视和评审有关相关方及其有关要求的信息，实现持续改进。如供应商管理、合同条款、组织营业执照范围内的环境职业健康安全及使用的安全可靠性、服务的时效性等风险和市场开拓的机遇。</w:t>
            </w:r>
          </w:p>
          <w:p>
            <w:pPr>
              <w:keepLines w:val="0"/>
              <w:pageBreakBefore w:val="0"/>
              <w:widowControl w:val="0"/>
              <w:kinsoku/>
              <w:wordWrap/>
              <w:overflowPunct/>
              <w:topLinePunct w:val="0"/>
              <w:autoSpaceDE/>
              <w:autoSpaceDN/>
              <w:bidi w:val="0"/>
              <w:adjustRightInd/>
              <w:spacing w:line="240" w:lineRule="auto"/>
              <w:ind w:firstLine="420" w:firstLineChars="200"/>
              <w:textAlignment w:val="auto"/>
              <w:rPr>
                <w:sz w:val="21"/>
                <w:szCs w:val="21"/>
              </w:rPr>
            </w:pPr>
            <w:r>
              <w:rPr>
                <w:rFonts w:hint="eastAsia"/>
                <w:sz w:val="21"/>
                <w:szCs w:val="21"/>
              </w:rPr>
              <w:t>2. 应对风险的措施：</w:t>
            </w:r>
          </w:p>
          <w:p>
            <w:pPr>
              <w:keepLines w:val="0"/>
              <w:pageBreakBefore w:val="0"/>
              <w:widowControl w:val="0"/>
              <w:kinsoku/>
              <w:wordWrap/>
              <w:overflowPunct/>
              <w:topLinePunct w:val="0"/>
              <w:autoSpaceDE/>
              <w:autoSpaceDN/>
              <w:bidi w:val="0"/>
              <w:adjustRightInd/>
              <w:spacing w:line="240" w:lineRule="auto"/>
              <w:ind w:firstLine="420" w:firstLineChars="200"/>
              <w:textAlignment w:val="auto"/>
              <w:rPr>
                <w:sz w:val="21"/>
                <w:szCs w:val="21"/>
              </w:rPr>
            </w:pPr>
            <w:r>
              <w:rPr>
                <w:rFonts w:hint="eastAsia"/>
                <w:sz w:val="21"/>
                <w:szCs w:val="21"/>
              </w:rPr>
              <w:t>a) 通过供应商的选择和评定来控制风险，选择供应商时考核其资质及其提供合格产品和合格服务的能力，应与客户需求相匹配。</w:t>
            </w:r>
          </w:p>
          <w:p>
            <w:pPr>
              <w:keepLines w:val="0"/>
              <w:pageBreakBefore w:val="0"/>
              <w:widowControl w:val="0"/>
              <w:kinsoku/>
              <w:wordWrap/>
              <w:overflowPunct/>
              <w:topLinePunct w:val="0"/>
              <w:autoSpaceDE/>
              <w:autoSpaceDN/>
              <w:bidi w:val="0"/>
              <w:adjustRightInd/>
              <w:spacing w:line="240" w:lineRule="auto"/>
              <w:ind w:firstLine="420" w:firstLineChars="200"/>
              <w:textAlignment w:val="auto"/>
              <w:rPr>
                <w:sz w:val="21"/>
                <w:szCs w:val="21"/>
              </w:rPr>
            </w:pPr>
            <w:r>
              <w:rPr>
                <w:rFonts w:hint="eastAsia"/>
                <w:sz w:val="21"/>
                <w:szCs w:val="21"/>
              </w:rPr>
              <w:t>b)通过签订客户协议和供应商协议的条款把控风险。从各个方面确保许可范围内，过程环境影响、危险源管理等，提高客户满意度，同时对风险加以控制。</w:t>
            </w:r>
          </w:p>
          <w:p>
            <w:pPr>
              <w:keepLines w:val="0"/>
              <w:pageBreakBefore w:val="0"/>
              <w:widowControl w:val="0"/>
              <w:kinsoku/>
              <w:wordWrap/>
              <w:overflowPunct/>
              <w:topLinePunct w:val="0"/>
              <w:autoSpaceDE/>
              <w:autoSpaceDN/>
              <w:bidi w:val="0"/>
              <w:adjustRightInd/>
              <w:spacing w:line="240" w:lineRule="auto"/>
              <w:ind w:firstLine="420" w:firstLineChars="200"/>
              <w:textAlignment w:val="auto"/>
              <w:rPr>
                <w:sz w:val="21"/>
                <w:szCs w:val="21"/>
              </w:rPr>
            </w:pPr>
            <w:r>
              <w:rPr>
                <w:rFonts w:hint="eastAsia"/>
                <w:sz w:val="21"/>
                <w:szCs w:val="21"/>
              </w:rPr>
              <w:t>3.识别进行经营范围内风险及具体应对措施，采购的风险，严格供应商评审，选择合格供方，要求其生产能力和产品质量满足客户要求，并严格进行合格供方业绩评价。通过采购合同或协议与销售合同或协议的条款匹配来控制风险，产品经检验后交货来控制产品质量的风险。</w:t>
            </w:r>
          </w:p>
          <w:p>
            <w:pPr>
              <w:keepLines w:val="0"/>
              <w:pageBreakBefore w:val="0"/>
              <w:widowControl w:val="0"/>
              <w:kinsoku/>
              <w:wordWrap/>
              <w:overflowPunct/>
              <w:topLinePunct w:val="0"/>
              <w:autoSpaceDE/>
              <w:autoSpaceDN/>
              <w:bidi w:val="0"/>
              <w:adjustRightInd/>
              <w:spacing w:line="240" w:lineRule="auto"/>
              <w:ind w:firstLine="420" w:firstLineChars="200"/>
              <w:textAlignment w:val="auto"/>
              <w:rPr>
                <w:sz w:val="21"/>
                <w:szCs w:val="21"/>
              </w:rPr>
            </w:pPr>
            <w:r>
              <w:rPr>
                <w:rFonts w:hint="eastAsia"/>
                <w:sz w:val="21"/>
                <w:szCs w:val="21"/>
              </w:rPr>
              <w:t>4.通过对执照范围内的风险控制和销售环保、交付等风险控制，在具体操作过程中实施的措施，实现了对整个供应链管理的风险控制，为客户提供更全面的许可范围内的服务。</w:t>
            </w:r>
          </w:p>
        </w:tc>
        <w:tc>
          <w:tcPr>
            <w:tcW w:w="1585" w:type="dxa"/>
          </w:tcPr>
          <w:p>
            <w:pPr>
              <w:keepLines w:val="0"/>
              <w:pageBreakBefore w:val="0"/>
              <w:widowControl w:val="0"/>
              <w:kinsoku/>
              <w:wordWrap/>
              <w:overflowPunct/>
              <w:topLinePunct w:val="0"/>
              <w:autoSpaceDE/>
              <w:autoSpaceDN/>
              <w:bidi w:val="0"/>
              <w:adjustRightInd/>
              <w:spacing w:line="240" w:lineRule="auto"/>
              <w:textAlignment w:val="auto"/>
              <w:rPr>
                <w:sz w:val="21"/>
                <w:szCs w:val="21"/>
              </w:rPr>
            </w:pPr>
            <w:r>
              <w:rPr>
                <w:rFonts w:hint="eastAsia"/>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2122"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宋体" w:hAnsi="宋体" w:cs="宋体"/>
                <w:sz w:val="21"/>
                <w:szCs w:val="21"/>
              </w:rPr>
            </w:pPr>
            <w:r>
              <w:rPr>
                <w:rFonts w:hint="eastAsia" w:ascii="宋体" w:hAnsi="宋体" w:cs="宋体"/>
                <w:sz w:val="21"/>
                <w:szCs w:val="21"/>
              </w:rPr>
              <w:t>领导作用与承诺</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b/>
                <w:sz w:val="21"/>
                <w:szCs w:val="21"/>
              </w:rPr>
            </w:pPr>
            <w:r>
              <w:rPr>
                <w:rFonts w:hint="eastAsia" w:ascii="宋体" w:hAnsi="宋体" w:cs="宋体"/>
                <w:sz w:val="21"/>
                <w:szCs w:val="21"/>
              </w:rPr>
              <w:t>--总则</w:t>
            </w:r>
          </w:p>
        </w:tc>
        <w:tc>
          <w:tcPr>
            <w:tcW w:w="998"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宋体" w:hAnsi="宋体" w:cs="宋体"/>
                <w:sz w:val="21"/>
                <w:szCs w:val="21"/>
              </w:rPr>
            </w:pPr>
            <w:r>
              <w:rPr>
                <w:rFonts w:hint="eastAsia" w:ascii="宋体" w:hAnsi="宋体" w:cs="宋体"/>
                <w:sz w:val="21"/>
                <w:szCs w:val="21"/>
              </w:rPr>
              <w:t>EO</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宋体" w:hAnsi="宋体" w:cs="宋体"/>
                <w:sz w:val="21"/>
                <w:szCs w:val="21"/>
              </w:rPr>
            </w:pPr>
            <w:r>
              <w:rPr>
                <w:rFonts w:hint="eastAsia" w:ascii="宋体" w:hAnsi="宋体" w:cs="宋体"/>
                <w:sz w:val="21"/>
                <w:szCs w:val="21"/>
              </w:rPr>
              <w:t>5.1</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宋体" w:hAnsi="宋体" w:cs="宋体"/>
                <w:sz w:val="21"/>
                <w:szCs w:val="21"/>
              </w:rPr>
            </w:pPr>
            <w:r>
              <w:rPr>
                <w:rFonts w:hint="eastAsia" w:ascii="宋体" w:hAnsi="宋体" w:cs="宋体"/>
                <w:sz w:val="21"/>
                <w:szCs w:val="21"/>
              </w:rPr>
              <w:t>5.1.1</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b/>
                <w:sz w:val="21"/>
                <w:szCs w:val="21"/>
              </w:rPr>
            </w:pPr>
          </w:p>
        </w:tc>
        <w:tc>
          <w:tcPr>
            <w:tcW w:w="10004" w:type="dxa"/>
            <w:vAlign w:val="center"/>
          </w:tcPr>
          <w:p>
            <w:pPr>
              <w:keepLines w:val="0"/>
              <w:pageBreakBefore w:val="0"/>
              <w:widowControl w:val="0"/>
              <w:kinsoku/>
              <w:wordWrap/>
              <w:overflowPunct/>
              <w:topLinePunct w:val="0"/>
              <w:autoSpaceDE/>
              <w:autoSpaceDN/>
              <w:bidi w:val="0"/>
              <w:adjustRightInd/>
              <w:spacing w:line="240" w:lineRule="auto"/>
              <w:ind w:firstLine="420" w:firstLineChars="200"/>
              <w:textAlignment w:val="auto"/>
              <w:rPr>
                <w:rFonts w:ascii="宋体" w:hAnsi="宋体" w:cs="宋体"/>
                <w:sz w:val="21"/>
                <w:szCs w:val="21"/>
              </w:rPr>
            </w:pPr>
            <w:r>
              <w:rPr>
                <w:rFonts w:hint="eastAsia" w:ascii="宋体" w:hAnsi="宋体" w:cs="宋体"/>
                <w:sz w:val="21"/>
                <w:szCs w:val="21"/>
              </w:rPr>
              <w:t>公司负责人说主要承诺有：</w:t>
            </w:r>
          </w:p>
          <w:p>
            <w:pPr>
              <w:keepLines w:val="0"/>
              <w:pageBreakBefore w:val="0"/>
              <w:widowControl w:val="0"/>
              <w:numPr>
                <w:ilvl w:val="0"/>
                <w:numId w:val="1"/>
              </w:numPr>
              <w:kinsoku/>
              <w:wordWrap/>
              <w:overflowPunct/>
              <w:topLinePunct w:val="0"/>
              <w:autoSpaceDE/>
              <w:autoSpaceDN/>
              <w:bidi w:val="0"/>
              <w:adjustRightInd/>
              <w:spacing w:line="240" w:lineRule="auto"/>
              <w:ind w:firstLine="420" w:firstLineChars="200"/>
              <w:textAlignment w:val="auto"/>
              <w:rPr>
                <w:rFonts w:hint="eastAsia" w:ascii="宋体" w:hAnsi="宋体" w:cs="宋体"/>
                <w:sz w:val="21"/>
                <w:szCs w:val="21"/>
                <w:highlight w:val="none"/>
              </w:rPr>
            </w:pPr>
            <w:r>
              <w:rPr>
                <w:rFonts w:hint="eastAsia" w:ascii="宋体" w:hAnsi="宋体" w:cs="宋体"/>
                <w:sz w:val="21"/>
                <w:szCs w:val="21"/>
                <w:highlight w:val="none"/>
                <w:lang w:val="en-US" w:eastAsia="zh-CN"/>
              </w:rPr>
              <w:t>总经理</w:t>
            </w:r>
            <w:r>
              <w:rPr>
                <w:rFonts w:hint="eastAsia" w:ascii="宋体" w:hAnsi="宋体" w:cs="宋体"/>
                <w:sz w:val="21"/>
                <w:szCs w:val="21"/>
                <w:highlight w:val="none"/>
              </w:rPr>
              <w:t>对</w:t>
            </w:r>
            <w:r>
              <w:rPr>
                <w:rFonts w:hint="eastAsia" w:ascii="宋体" w:hAnsi="宋体" w:cs="宋体"/>
                <w:sz w:val="21"/>
                <w:szCs w:val="21"/>
                <w:highlight w:val="none"/>
                <w:lang w:val="en-US" w:eastAsia="zh-CN"/>
              </w:rPr>
              <w:t>防止与工作有关的伤害和健康损害以及提供健康的工作场所和活动全面承担和义务。</w:t>
            </w:r>
          </w:p>
          <w:p>
            <w:pPr>
              <w:keepLines w:val="0"/>
              <w:pageBreakBefore w:val="0"/>
              <w:widowControl w:val="0"/>
              <w:numPr>
                <w:ilvl w:val="0"/>
                <w:numId w:val="1"/>
              </w:numPr>
              <w:kinsoku/>
              <w:wordWrap/>
              <w:overflowPunct/>
              <w:topLinePunct w:val="0"/>
              <w:autoSpaceDE/>
              <w:autoSpaceDN/>
              <w:bidi w:val="0"/>
              <w:adjustRightInd/>
              <w:spacing w:line="240" w:lineRule="auto"/>
              <w:ind w:firstLine="420" w:firstLineChars="200"/>
              <w:textAlignment w:val="auto"/>
              <w:rPr>
                <w:rFonts w:hint="eastAsia" w:ascii="宋体" w:hAnsi="宋体" w:cs="宋体"/>
                <w:sz w:val="21"/>
                <w:szCs w:val="21"/>
                <w:highlight w:val="none"/>
              </w:rPr>
            </w:pPr>
            <w:r>
              <w:rPr>
                <w:rFonts w:hint="eastAsia" w:ascii="宋体" w:hAnsi="宋体" w:cs="宋体"/>
                <w:sz w:val="21"/>
                <w:szCs w:val="21"/>
                <w:highlight w:val="none"/>
              </w:rPr>
              <w:t>确保制定环境和职业健康安全管理体系的环境、职业健康安全方针和目标,并确保与公司战略方向及所处的环境相一致；</w:t>
            </w:r>
          </w:p>
          <w:p>
            <w:pPr>
              <w:keepLines w:val="0"/>
              <w:pageBreakBefore w:val="0"/>
              <w:widowControl w:val="0"/>
              <w:kinsoku/>
              <w:wordWrap/>
              <w:overflowPunct/>
              <w:topLinePunct w:val="0"/>
              <w:autoSpaceDE/>
              <w:autoSpaceDN/>
              <w:bidi w:val="0"/>
              <w:adjustRightInd/>
              <w:spacing w:line="240" w:lineRule="auto"/>
              <w:ind w:firstLine="420" w:firstLineChars="200"/>
              <w:textAlignment w:val="auto"/>
              <w:rPr>
                <w:rFonts w:hint="eastAsia" w:ascii="宋体" w:hAnsi="宋体" w:cs="宋体"/>
                <w:sz w:val="21"/>
                <w:szCs w:val="21"/>
                <w:highlight w:val="none"/>
              </w:rPr>
            </w:pPr>
            <w:r>
              <w:rPr>
                <w:rFonts w:hint="eastAsia" w:ascii="宋体" w:hAnsi="宋体" w:cs="宋体"/>
                <w:sz w:val="21"/>
                <w:szCs w:val="21"/>
                <w:highlight w:val="none"/>
              </w:rPr>
              <w:t>c）确保环境和职业健康安全管理体系要求融入与公司的业务过程；</w:t>
            </w:r>
          </w:p>
          <w:p>
            <w:pPr>
              <w:keepLines w:val="0"/>
              <w:pageBreakBefore w:val="0"/>
              <w:widowControl w:val="0"/>
              <w:kinsoku/>
              <w:wordWrap/>
              <w:overflowPunct/>
              <w:topLinePunct w:val="0"/>
              <w:autoSpaceDE/>
              <w:autoSpaceDN/>
              <w:bidi w:val="0"/>
              <w:adjustRightInd/>
              <w:spacing w:line="240" w:lineRule="auto"/>
              <w:ind w:firstLine="420" w:firstLineChars="200"/>
              <w:textAlignment w:val="auto"/>
              <w:rPr>
                <w:rFonts w:hint="eastAsia" w:ascii="宋体" w:hAnsi="宋体" w:cs="宋体"/>
                <w:sz w:val="21"/>
                <w:szCs w:val="21"/>
                <w:highlight w:val="none"/>
              </w:rPr>
            </w:pPr>
            <w:r>
              <w:rPr>
                <w:rFonts w:hint="eastAsia" w:ascii="宋体" w:hAnsi="宋体" w:cs="宋体"/>
                <w:sz w:val="21"/>
                <w:szCs w:val="21"/>
                <w:highlight w:val="none"/>
              </w:rPr>
              <w:t>d）确保获得环境和职业健康安全管理体系所需的资源；</w:t>
            </w:r>
          </w:p>
          <w:p>
            <w:pPr>
              <w:keepLines w:val="0"/>
              <w:pageBreakBefore w:val="0"/>
              <w:widowControl w:val="0"/>
              <w:kinsoku/>
              <w:wordWrap/>
              <w:overflowPunct/>
              <w:topLinePunct w:val="0"/>
              <w:autoSpaceDE/>
              <w:autoSpaceDN/>
              <w:bidi w:val="0"/>
              <w:adjustRightInd/>
              <w:spacing w:line="240" w:lineRule="auto"/>
              <w:ind w:firstLine="420" w:firstLineChars="200"/>
              <w:textAlignment w:val="auto"/>
              <w:rPr>
                <w:rFonts w:hint="eastAsia" w:ascii="宋体" w:hAnsi="宋体" w:cs="宋体"/>
                <w:sz w:val="21"/>
                <w:szCs w:val="21"/>
                <w:highlight w:val="none"/>
              </w:rPr>
            </w:pPr>
            <w:r>
              <w:rPr>
                <w:rFonts w:hint="eastAsia" w:ascii="宋体" w:hAnsi="宋体" w:cs="宋体"/>
                <w:sz w:val="21"/>
                <w:szCs w:val="21"/>
                <w:highlight w:val="none"/>
              </w:rPr>
              <w:t>e）就有效的环境和职业健康安全管理的重要性和符合环境和职业健康安全管理体系要求的重要性进行沟通；</w:t>
            </w:r>
          </w:p>
          <w:p>
            <w:pPr>
              <w:keepLines w:val="0"/>
              <w:pageBreakBefore w:val="0"/>
              <w:widowControl w:val="0"/>
              <w:kinsoku/>
              <w:wordWrap/>
              <w:overflowPunct/>
              <w:topLinePunct w:val="0"/>
              <w:autoSpaceDE/>
              <w:autoSpaceDN/>
              <w:bidi w:val="0"/>
              <w:adjustRightInd/>
              <w:spacing w:line="240" w:lineRule="auto"/>
              <w:ind w:firstLine="420" w:firstLineChars="200"/>
              <w:textAlignment w:val="auto"/>
              <w:rPr>
                <w:rFonts w:hint="eastAsia" w:ascii="宋体" w:hAnsi="宋体" w:cs="宋体"/>
                <w:sz w:val="21"/>
                <w:szCs w:val="21"/>
                <w:highlight w:val="none"/>
              </w:rPr>
            </w:pPr>
            <w:r>
              <w:rPr>
                <w:rFonts w:hint="eastAsia" w:ascii="宋体" w:hAnsi="宋体" w:cs="宋体"/>
                <w:sz w:val="21"/>
                <w:szCs w:val="21"/>
                <w:highlight w:val="none"/>
              </w:rPr>
              <w:t>f）确保实现环境和职业健康安全管理体系的预期结果；</w:t>
            </w:r>
          </w:p>
          <w:p>
            <w:pPr>
              <w:keepLines w:val="0"/>
              <w:pageBreakBefore w:val="0"/>
              <w:widowControl w:val="0"/>
              <w:kinsoku/>
              <w:wordWrap/>
              <w:overflowPunct/>
              <w:topLinePunct w:val="0"/>
              <w:autoSpaceDE/>
              <w:autoSpaceDN/>
              <w:bidi w:val="0"/>
              <w:adjustRightInd/>
              <w:spacing w:line="240" w:lineRule="auto"/>
              <w:ind w:firstLine="420" w:firstLineChars="200"/>
              <w:textAlignment w:val="auto"/>
              <w:rPr>
                <w:rFonts w:hint="eastAsia" w:ascii="宋体" w:hAnsi="宋体" w:cs="宋体"/>
                <w:sz w:val="21"/>
                <w:szCs w:val="21"/>
                <w:highlight w:val="none"/>
              </w:rPr>
            </w:pPr>
            <w:r>
              <w:rPr>
                <w:rFonts w:hint="eastAsia" w:ascii="宋体" w:hAnsi="宋体" w:cs="宋体"/>
                <w:sz w:val="21"/>
                <w:szCs w:val="21"/>
                <w:highlight w:val="none"/>
              </w:rPr>
              <w:t xml:space="preserve">h)促进持续改进；   </w:t>
            </w:r>
          </w:p>
          <w:p>
            <w:pPr>
              <w:keepLines w:val="0"/>
              <w:pageBreakBefore w:val="0"/>
              <w:widowControl w:val="0"/>
              <w:kinsoku/>
              <w:wordWrap/>
              <w:overflowPunct/>
              <w:topLinePunct w:val="0"/>
              <w:autoSpaceDE/>
              <w:autoSpaceDN/>
              <w:bidi w:val="0"/>
              <w:adjustRightInd/>
              <w:spacing w:line="240" w:lineRule="auto"/>
              <w:ind w:firstLine="420" w:firstLineChars="200"/>
              <w:textAlignment w:val="auto"/>
              <w:rPr>
                <w:rFonts w:hint="eastAsia" w:ascii="宋体" w:hAnsi="宋体" w:cs="宋体"/>
                <w:sz w:val="21"/>
                <w:szCs w:val="21"/>
                <w:highlight w:val="none"/>
              </w:rPr>
            </w:pPr>
            <w:r>
              <w:rPr>
                <w:rFonts w:hint="eastAsia" w:ascii="宋体" w:hAnsi="宋体" w:cs="宋体"/>
                <w:sz w:val="21"/>
                <w:szCs w:val="21"/>
                <w:highlight w:val="none"/>
              </w:rPr>
              <w:t>j）支持其他管理人员在其职责范围内证实其领导作用。</w:t>
            </w:r>
          </w:p>
          <w:p>
            <w:pPr>
              <w:keepLines w:val="0"/>
              <w:pageBreakBefore w:val="0"/>
              <w:widowControl w:val="0"/>
              <w:kinsoku/>
              <w:wordWrap/>
              <w:overflowPunct/>
              <w:topLinePunct w:val="0"/>
              <w:autoSpaceDE/>
              <w:autoSpaceDN/>
              <w:bidi w:val="0"/>
              <w:adjustRightInd/>
              <w:spacing w:line="240" w:lineRule="auto"/>
              <w:ind w:firstLine="420" w:firstLineChars="200"/>
              <w:textAlignment w:val="auto"/>
              <w:rPr>
                <w:b/>
                <w:sz w:val="21"/>
                <w:szCs w:val="21"/>
              </w:rPr>
            </w:pPr>
            <w:r>
              <w:rPr>
                <w:rFonts w:hint="eastAsia" w:ascii="宋体" w:hAnsi="宋体" w:cs="宋体"/>
                <w:sz w:val="21"/>
                <w:szCs w:val="21"/>
              </w:rPr>
              <w:t>公司对全体员工进行了环保、职业健康安全的宣传和培训，制定了管理文件和管理目标，并按规定进行了管理评审，目前该公司的管理体系基本得到了落实。管理层通过制定方针和目标并通过会议、培训等形式要求员工理解企业的方针目标以及传达守法经营及达到顾客满意意识的重要性并形成制度化，强调企业实施环境职业健康安全管理体系的重要性。资源提供充分并通过定期进行管理评审发现过程中存在的问题并加以改进，承诺基本有效。企业通过会议、培训等形式要求员工理解公司的方针和目标，以及遵守法律法规的重要性及顾客满意的重要性，并形成制度化，规定了定期检查落实的情况，并有具体要求。承诺基本实现，评价周期内没有违反的情况发生。</w:t>
            </w:r>
          </w:p>
        </w:tc>
        <w:tc>
          <w:tcPr>
            <w:tcW w:w="1585" w:type="dxa"/>
          </w:tcPr>
          <w:p>
            <w:pPr>
              <w:keepLines w:val="0"/>
              <w:pageBreakBefore w:val="0"/>
              <w:widowControl w:val="0"/>
              <w:kinsoku/>
              <w:wordWrap/>
              <w:overflowPunct/>
              <w:topLinePunct w:val="0"/>
              <w:autoSpaceDE/>
              <w:autoSpaceDN/>
              <w:bidi w:val="0"/>
              <w:adjustRightInd/>
              <w:spacing w:line="240" w:lineRule="auto"/>
              <w:textAlignment w:val="auto"/>
              <w:rPr>
                <w:sz w:val="21"/>
                <w:szCs w:val="21"/>
              </w:rPr>
            </w:pPr>
            <w:r>
              <w:rPr>
                <w:rFonts w:hint="eastAsia"/>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122"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宋体" w:hAnsi="宋体" w:cs="宋体"/>
                <w:sz w:val="21"/>
                <w:szCs w:val="21"/>
              </w:rPr>
            </w:pPr>
            <w:r>
              <w:rPr>
                <w:rFonts w:hint="eastAsia" w:ascii="宋体" w:hAnsi="宋体" w:cs="宋体"/>
                <w:sz w:val="21"/>
                <w:szCs w:val="21"/>
              </w:rPr>
              <w:t>方针</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宋体" w:hAnsi="宋体" w:cs="宋体"/>
                <w:sz w:val="21"/>
                <w:szCs w:val="21"/>
              </w:rPr>
            </w:pPr>
            <w:r>
              <w:rPr>
                <w:rFonts w:hint="eastAsia" w:ascii="宋体" w:hAnsi="宋体" w:cs="宋体"/>
                <w:sz w:val="21"/>
                <w:szCs w:val="21"/>
              </w:rPr>
              <w:t>制定方针</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b/>
                <w:sz w:val="21"/>
                <w:szCs w:val="21"/>
              </w:rPr>
            </w:pPr>
            <w:r>
              <w:rPr>
                <w:rFonts w:hint="eastAsia" w:ascii="宋体" w:hAnsi="宋体" w:cs="宋体"/>
                <w:sz w:val="21"/>
                <w:szCs w:val="21"/>
              </w:rPr>
              <w:t>沟通方针</w:t>
            </w:r>
          </w:p>
        </w:tc>
        <w:tc>
          <w:tcPr>
            <w:tcW w:w="998"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宋体" w:hAnsi="宋体" w:cs="宋体"/>
                <w:sz w:val="21"/>
                <w:szCs w:val="21"/>
              </w:rPr>
            </w:pPr>
            <w:r>
              <w:rPr>
                <w:rFonts w:hint="eastAsia" w:ascii="宋体" w:hAnsi="宋体" w:cs="宋体"/>
                <w:sz w:val="21"/>
                <w:szCs w:val="21"/>
              </w:rPr>
              <w:t>EO5.2</w:t>
            </w:r>
          </w:p>
        </w:tc>
        <w:tc>
          <w:tcPr>
            <w:tcW w:w="10004" w:type="dxa"/>
            <w:vAlign w:val="center"/>
          </w:tcPr>
          <w:p>
            <w:pPr>
              <w:keepLines w:val="0"/>
              <w:pageBreakBefore w:val="0"/>
              <w:widowControl w:val="0"/>
              <w:kinsoku/>
              <w:wordWrap/>
              <w:overflowPunct/>
              <w:topLinePunct w:val="0"/>
              <w:autoSpaceDE/>
              <w:autoSpaceDN/>
              <w:bidi w:val="0"/>
              <w:adjustRightInd/>
              <w:spacing w:line="240" w:lineRule="auto"/>
              <w:ind w:firstLine="420" w:firstLineChars="200"/>
              <w:textAlignment w:val="auto"/>
              <w:rPr>
                <w:rFonts w:ascii="宋体" w:hAnsi="宋体" w:cs="宋体"/>
                <w:sz w:val="21"/>
                <w:szCs w:val="21"/>
              </w:rPr>
            </w:pPr>
            <w:r>
              <w:rPr>
                <w:rFonts w:hint="eastAsia" w:ascii="宋体" w:hAnsi="宋体" w:cs="宋体"/>
                <w:sz w:val="21"/>
                <w:szCs w:val="21"/>
              </w:rPr>
              <w:t>该公司管理方针：</w:t>
            </w:r>
          </w:p>
          <w:p>
            <w:pPr>
              <w:keepLines w:val="0"/>
              <w:pageBreakBefore w:val="0"/>
              <w:widowControl w:val="0"/>
              <w:kinsoku/>
              <w:wordWrap/>
              <w:overflowPunct/>
              <w:topLinePunct w:val="0"/>
              <w:autoSpaceDE/>
              <w:autoSpaceDN/>
              <w:bidi w:val="0"/>
              <w:adjustRightInd/>
              <w:spacing w:line="240" w:lineRule="auto"/>
              <w:ind w:firstLine="420" w:firstLineChars="200"/>
              <w:textAlignment w:val="auto"/>
              <w:rPr>
                <w:rFonts w:hint="eastAsia" w:ascii="宋体" w:hAnsi="宋体" w:cs="宋体"/>
                <w:sz w:val="21"/>
                <w:szCs w:val="21"/>
              </w:rPr>
            </w:pPr>
            <w:r>
              <w:rPr>
                <w:rFonts w:hint="eastAsia" w:ascii="Times New Roman" w:hAnsi="Times New Roman" w:eastAsia="宋体" w:cs="Times New Roman"/>
                <w:color w:val="000000"/>
                <w:szCs w:val="18"/>
                <w:u w:val="single"/>
                <w:lang w:val="en-US" w:eastAsia="zh-CN"/>
              </w:rPr>
              <w:t>精心制作、科技创新、顾客满意、持续改进、安全高效、节能降耗、预防污染、保护环境</w:t>
            </w:r>
            <w:r>
              <w:rPr>
                <w:rFonts w:hint="eastAsia" w:ascii="宋体" w:hAnsi="宋体" w:cs="宋体"/>
                <w:sz w:val="21"/>
                <w:szCs w:val="21"/>
              </w:rPr>
              <w:t>。</w:t>
            </w:r>
          </w:p>
          <w:p>
            <w:pPr>
              <w:keepLines w:val="0"/>
              <w:pageBreakBefore w:val="0"/>
              <w:widowControl w:val="0"/>
              <w:kinsoku/>
              <w:wordWrap/>
              <w:overflowPunct/>
              <w:topLinePunct w:val="0"/>
              <w:autoSpaceDE/>
              <w:autoSpaceDN/>
              <w:bidi w:val="0"/>
              <w:adjustRightInd/>
              <w:spacing w:line="240" w:lineRule="auto"/>
              <w:ind w:firstLine="420" w:firstLineChars="200"/>
              <w:textAlignment w:val="auto"/>
              <w:rPr>
                <w:rFonts w:ascii="宋体" w:hAnsi="宋体" w:cs="宋体"/>
                <w:sz w:val="21"/>
                <w:szCs w:val="21"/>
              </w:rPr>
            </w:pPr>
            <w:r>
              <w:rPr>
                <w:rFonts w:hint="eastAsia" w:ascii="宋体" w:hAnsi="宋体" w:cs="宋体"/>
                <w:sz w:val="21"/>
                <w:szCs w:val="21"/>
              </w:rPr>
              <w:t>公司以环境、职业健康安全标准为基础，结合公司实际特制定管理方针。与总经理进行交谈，总经理对方针内涵的理解较深刻。方针能为制定目标提供框架，方针基本符合标准的要求。</w:t>
            </w:r>
          </w:p>
          <w:p>
            <w:pPr>
              <w:keepLines w:val="0"/>
              <w:pageBreakBefore w:val="0"/>
              <w:widowControl w:val="0"/>
              <w:kinsoku/>
              <w:wordWrap/>
              <w:overflowPunct/>
              <w:topLinePunct w:val="0"/>
              <w:autoSpaceDE/>
              <w:autoSpaceDN/>
              <w:bidi w:val="0"/>
              <w:adjustRightInd/>
              <w:spacing w:line="240" w:lineRule="auto"/>
              <w:ind w:firstLine="420" w:firstLineChars="200"/>
              <w:textAlignment w:val="auto"/>
              <w:rPr>
                <w:rFonts w:ascii="宋体" w:hAnsi="宋体" w:cs="宋体"/>
                <w:sz w:val="21"/>
                <w:szCs w:val="21"/>
              </w:rPr>
            </w:pPr>
            <w:r>
              <w:rPr>
                <w:rFonts w:hint="eastAsia" w:ascii="宋体" w:hAnsi="宋体" w:cs="宋体"/>
                <w:sz w:val="21"/>
                <w:szCs w:val="21"/>
              </w:rPr>
              <w:t>总经理用会议、文件等手段保证管理方针为全体员工理解并落实到工作中。总经理说管理评审时对方针的持续适宜性进行了评审，有评审记录。</w:t>
            </w:r>
          </w:p>
          <w:p>
            <w:pPr>
              <w:keepLines w:val="0"/>
              <w:pageBreakBefore w:val="0"/>
              <w:widowControl w:val="0"/>
              <w:kinsoku/>
              <w:wordWrap/>
              <w:overflowPunct/>
              <w:topLinePunct w:val="0"/>
              <w:autoSpaceDE/>
              <w:autoSpaceDN/>
              <w:bidi w:val="0"/>
              <w:adjustRightInd/>
              <w:spacing w:line="240" w:lineRule="auto"/>
              <w:ind w:firstLine="420" w:firstLineChars="200"/>
              <w:textAlignment w:val="auto"/>
              <w:rPr>
                <w:b/>
                <w:sz w:val="21"/>
                <w:szCs w:val="21"/>
              </w:rPr>
            </w:pPr>
            <w:r>
              <w:rPr>
                <w:rFonts w:hint="eastAsia" w:ascii="宋体" w:hAnsi="宋体" w:cs="宋体"/>
                <w:sz w:val="21"/>
                <w:szCs w:val="21"/>
              </w:rPr>
              <w:t>以上管理方针通过文件、培训等形式将公司管理方针传达给所有为公司工作或代表公司的人员，相关方也可通过</w:t>
            </w:r>
            <w:r>
              <w:rPr>
                <w:rFonts w:hint="eastAsia" w:ascii="宋体" w:hAnsi="宋体" w:cs="宋体"/>
                <w:sz w:val="21"/>
                <w:szCs w:val="21"/>
                <w:lang w:eastAsia="zh-CN"/>
              </w:rPr>
              <w:t>办公室</w:t>
            </w:r>
            <w:r>
              <w:rPr>
                <w:rFonts w:hint="eastAsia" w:ascii="宋体" w:hAnsi="宋体" w:cs="宋体"/>
                <w:sz w:val="21"/>
                <w:szCs w:val="21"/>
              </w:rPr>
              <w:t>获取公司管理方针。</w:t>
            </w:r>
          </w:p>
        </w:tc>
        <w:tc>
          <w:tcPr>
            <w:tcW w:w="1585" w:type="dxa"/>
          </w:tcPr>
          <w:p>
            <w:pPr>
              <w:keepLines w:val="0"/>
              <w:pageBreakBefore w:val="0"/>
              <w:widowControl w:val="0"/>
              <w:kinsoku/>
              <w:wordWrap/>
              <w:overflowPunct/>
              <w:topLinePunct w:val="0"/>
              <w:autoSpaceDE/>
              <w:autoSpaceDN/>
              <w:bidi w:val="0"/>
              <w:adjustRightInd/>
              <w:spacing w:line="240" w:lineRule="auto"/>
              <w:textAlignment w:val="auto"/>
              <w:rPr>
                <w:sz w:val="21"/>
                <w:szCs w:val="21"/>
              </w:rPr>
            </w:pPr>
            <w:r>
              <w:rPr>
                <w:rFonts w:hint="eastAsia"/>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2122"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宋体" w:hAnsi="宋体" w:cs="宋体"/>
                <w:sz w:val="21"/>
                <w:szCs w:val="21"/>
              </w:rPr>
            </w:pPr>
            <w:r>
              <w:rPr>
                <w:rFonts w:hint="eastAsia" w:ascii="宋体" w:hAnsi="宋体" w:cs="宋体"/>
                <w:sz w:val="21"/>
                <w:szCs w:val="21"/>
              </w:rPr>
              <w:t>组织的岗位、职责和权限</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宋体" w:hAnsi="宋体" w:cs="宋体"/>
                <w:sz w:val="21"/>
                <w:szCs w:val="21"/>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宋体" w:hAnsi="宋体" w:cs="宋体"/>
                <w:sz w:val="21"/>
                <w:szCs w:val="21"/>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宋体" w:hAnsi="宋体" w:cs="宋体"/>
                <w:sz w:val="21"/>
                <w:szCs w:val="21"/>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宋体" w:hAnsi="宋体" w:cs="宋体"/>
                <w:sz w:val="21"/>
                <w:szCs w:val="21"/>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cs="宋体"/>
                <w:sz w:val="21"/>
                <w:szCs w:val="21"/>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cs="宋体"/>
                <w:sz w:val="21"/>
                <w:szCs w:val="21"/>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宋体" w:hAnsi="宋体" w:cs="宋体"/>
                <w:sz w:val="21"/>
                <w:szCs w:val="21"/>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宋体" w:hAnsi="宋体" w:cs="宋体"/>
                <w:sz w:val="21"/>
                <w:szCs w:val="21"/>
              </w:rPr>
            </w:pPr>
            <w:r>
              <w:rPr>
                <w:rFonts w:hint="eastAsia" w:ascii="宋体" w:hAnsi="宋体" w:cs="宋体"/>
                <w:sz w:val="21"/>
                <w:szCs w:val="21"/>
              </w:rPr>
              <w:t>协商与参与</w:t>
            </w:r>
          </w:p>
        </w:tc>
        <w:tc>
          <w:tcPr>
            <w:tcW w:w="998"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宋体" w:hAnsi="宋体" w:cs="宋体"/>
                <w:sz w:val="21"/>
                <w:szCs w:val="21"/>
              </w:rPr>
            </w:pPr>
            <w:r>
              <w:rPr>
                <w:rFonts w:hint="eastAsia" w:ascii="宋体" w:hAnsi="宋体" w:cs="宋体"/>
                <w:sz w:val="21"/>
                <w:szCs w:val="21"/>
              </w:rPr>
              <w:t>EO</w:t>
            </w:r>
            <w:r>
              <w:rPr>
                <w:rFonts w:ascii="宋体" w:hAnsi="宋体" w:cs="宋体"/>
                <w:sz w:val="21"/>
                <w:szCs w:val="21"/>
              </w:rPr>
              <w:t>5.3</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宋体" w:hAnsi="宋体" w:cs="宋体"/>
                <w:sz w:val="21"/>
                <w:szCs w:val="21"/>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宋体" w:hAnsi="宋体" w:cs="宋体"/>
                <w:sz w:val="21"/>
                <w:szCs w:val="21"/>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宋体" w:hAnsi="宋体" w:cs="宋体"/>
                <w:sz w:val="21"/>
                <w:szCs w:val="21"/>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宋体" w:hAnsi="宋体" w:cs="宋体"/>
                <w:sz w:val="21"/>
                <w:szCs w:val="21"/>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宋体" w:hAnsi="宋体" w:cs="宋体"/>
                <w:sz w:val="21"/>
                <w:szCs w:val="21"/>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宋体" w:hAnsi="宋体" w:cs="宋体"/>
                <w:sz w:val="21"/>
                <w:szCs w:val="21"/>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宋体" w:hAnsi="宋体" w:cs="宋体"/>
                <w:sz w:val="21"/>
                <w:szCs w:val="21"/>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宋体" w:hAnsi="宋体" w:cs="宋体"/>
                <w:sz w:val="21"/>
                <w:szCs w:val="21"/>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宋体" w:hAnsi="宋体" w:cs="宋体"/>
                <w:sz w:val="21"/>
                <w:szCs w:val="21"/>
              </w:rPr>
            </w:pPr>
            <w:r>
              <w:rPr>
                <w:rFonts w:hint="eastAsia" w:ascii="宋体" w:hAnsi="宋体" w:cs="宋体"/>
                <w:sz w:val="21"/>
                <w:szCs w:val="21"/>
              </w:rPr>
              <w:t>O</w:t>
            </w:r>
            <w:r>
              <w:rPr>
                <w:rFonts w:ascii="宋体" w:hAnsi="宋体" w:cs="宋体"/>
                <w:sz w:val="21"/>
                <w:szCs w:val="21"/>
              </w:rPr>
              <w:t>5.4</w:t>
            </w:r>
            <w:r>
              <w:rPr>
                <w:rFonts w:hint="eastAsia" w:ascii="宋体" w:hAnsi="宋体" w:cs="宋体"/>
                <w:sz w:val="21"/>
                <w:szCs w:val="21"/>
              </w:rPr>
              <w:t xml:space="preserve"> </w:t>
            </w:r>
          </w:p>
        </w:tc>
        <w:tc>
          <w:tcPr>
            <w:tcW w:w="10004" w:type="dxa"/>
            <w:vAlign w:val="center"/>
          </w:tcPr>
          <w:p>
            <w:pPr>
              <w:keepLines w:val="0"/>
              <w:pageBreakBefore w:val="0"/>
              <w:widowControl w:val="0"/>
              <w:kinsoku/>
              <w:wordWrap/>
              <w:overflowPunct/>
              <w:topLinePunct w:val="0"/>
              <w:autoSpaceDE/>
              <w:autoSpaceDN/>
              <w:bidi w:val="0"/>
              <w:adjustRightInd/>
              <w:spacing w:line="240" w:lineRule="auto"/>
              <w:ind w:firstLine="420" w:firstLineChars="200"/>
              <w:textAlignment w:val="auto"/>
              <w:rPr>
                <w:rFonts w:ascii="宋体" w:hAnsi="宋体" w:cs="宋体"/>
                <w:sz w:val="21"/>
                <w:szCs w:val="21"/>
                <w:highlight w:val="none"/>
              </w:rPr>
            </w:pPr>
            <w:r>
              <w:rPr>
                <w:rFonts w:hint="eastAsia" w:ascii="宋体" w:hAnsi="宋体" w:cs="宋体"/>
                <w:sz w:val="21"/>
                <w:szCs w:val="21"/>
              </w:rPr>
              <w:t>确定了部门、各岗位人员职责、权限和相互关系，并在公司内对各级员工进行了必要的传达。对从事与销售有关的管理、执行和验证人员规定其职责、权限及其相互关系，以实现公司管理方针和管理目标。建立、实施和保持公司管理体系所需的过程，公司管理体系设置了管理层、</w:t>
            </w:r>
            <w:r>
              <w:rPr>
                <w:rFonts w:hint="eastAsia" w:ascii="宋体" w:hAnsi="宋体" w:cs="宋体"/>
                <w:sz w:val="21"/>
                <w:szCs w:val="21"/>
                <w:lang w:val="en-US" w:eastAsia="zh-CN"/>
              </w:rPr>
              <w:t>行政部、技质部、销售部、供应部、生产部、财务部</w:t>
            </w:r>
            <w:r>
              <w:rPr>
                <w:rFonts w:hint="eastAsia" w:ascii="宋体" w:hAnsi="宋体" w:cs="宋体"/>
                <w:sz w:val="21"/>
                <w:szCs w:val="21"/>
                <w:highlight w:val="none"/>
              </w:rPr>
              <w:t>，并对各部门的职能进行了分配和规定。公司决定任命</w:t>
            </w:r>
            <w:r>
              <w:rPr>
                <w:rFonts w:hint="eastAsia" w:ascii="宋体" w:hAnsi="宋体" w:cs="宋体"/>
                <w:sz w:val="21"/>
                <w:szCs w:val="21"/>
                <w:highlight w:val="none"/>
                <w:lang w:val="en-US" w:eastAsia="zh-CN"/>
              </w:rPr>
              <w:t>程关申</w:t>
            </w:r>
            <w:r>
              <w:rPr>
                <w:rFonts w:hint="eastAsia" w:ascii="宋体" w:hAnsi="宋体" w:cs="宋体"/>
                <w:sz w:val="21"/>
                <w:szCs w:val="21"/>
                <w:highlight w:val="none"/>
              </w:rPr>
              <w:t>为管理体系的管理者代表。对其职责和权限规定如下：</w:t>
            </w:r>
          </w:p>
          <w:p>
            <w:pPr>
              <w:keepLines w:val="0"/>
              <w:pageBreakBefore w:val="0"/>
              <w:widowControl w:val="0"/>
              <w:kinsoku/>
              <w:wordWrap/>
              <w:overflowPunct/>
              <w:topLinePunct w:val="0"/>
              <w:autoSpaceDE/>
              <w:autoSpaceDN/>
              <w:bidi w:val="0"/>
              <w:adjustRightInd/>
              <w:spacing w:line="240" w:lineRule="auto"/>
              <w:ind w:firstLine="420" w:firstLineChars="200"/>
              <w:textAlignment w:val="auto"/>
              <w:rPr>
                <w:rFonts w:ascii="宋体" w:hAnsi="宋体" w:cs="宋体"/>
                <w:sz w:val="21"/>
                <w:szCs w:val="21"/>
                <w:highlight w:val="none"/>
              </w:rPr>
            </w:pPr>
            <w:r>
              <w:rPr>
                <w:rFonts w:hint="eastAsia" w:ascii="宋体" w:hAnsi="宋体" w:cs="宋体"/>
                <w:sz w:val="21"/>
                <w:szCs w:val="21"/>
                <w:highlight w:val="none"/>
              </w:rPr>
              <w:t>确保本公司管理体系所需的过程得到建立、实施和保持，代表总经理行使职权；</w:t>
            </w:r>
          </w:p>
          <w:p>
            <w:pPr>
              <w:keepLines w:val="0"/>
              <w:pageBreakBefore w:val="0"/>
              <w:widowControl w:val="0"/>
              <w:kinsoku/>
              <w:wordWrap/>
              <w:overflowPunct/>
              <w:topLinePunct w:val="0"/>
              <w:autoSpaceDE/>
              <w:autoSpaceDN/>
              <w:bidi w:val="0"/>
              <w:adjustRightInd/>
              <w:spacing w:line="240" w:lineRule="auto"/>
              <w:ind w:firstLine="420" w:firstLineChars="200"/>
              <w:textAlignment w:val="auto"/>
              <w:rPr>
                <w:rFonts w:ascii="宋体" w:hAnsi="宋体" w:cs="宋体"/>
                <w:sz w:val="21"/>
                <w:szCs w:val="21"/>
                <w:highlight w:val="none"/>
              </w:rPr>
            </w:pPr>
            <w:r>
              <w:rPr>
                <w:rFonts w:hint="eastAsia" w:ascii="宋体" w:hAnsi="宋体" w:cs="宋体"/>
                <w:sz w:val="21"/>
                <w:szCs w:val="21"/>
                <w:highlight w:val="none"/>
              </w:rPr>
              <w:t>向最高管理者报告管理体系的运行、管理业绩情况以供评审，并提出管理体系改进方面的建议；确保在整个组织内提高满足顾客、相关方要求和适用法律法规要求的意识；组织落实公司管理体系的管理评审和内部审核；及时处理影响公司管理体系正常运行的有关问题；负责公司管理体系有关事宜的对外联络等。</w:t>
            </w:r>
          </w:p>
          <w:p>
            <w:pPr>
              <w:keepLines w:val="0"/>
              <w:pageBreakBefore w:val="0"/>
              <w:widowControl w:val="0"/>
              <w:kinsoku/>
              <w:wordWrap/>
              <w:overflowPunct/>
              <w:topLinePunct w:val="0"/>
              <w:autoSpaceDE/>
              <w:autoSpaceDN/>
              <w:bidi w:val="0"/>
              <w:adjustRightInd/>
              <w:spacing w:line="240" w:lineRule="auto"/>
              <w:ind w:firstLine="420" w:firstLineChars="200"/>
              <w:textAlignment w:val="auto"/>
              <w:rPr>
                <w:rFonts w:hint="eastAsia" w:ascii="宋体" w:hAnsi="宋体" w:cs="宋体"/>
                <w:sz w:val="21"/>
                <w:szCs w:val="21"/>
                <w:highlight w:val="none"/>
              </w:rPr>
            </w:pPr>
            <w:r>
              <w:rPr>
                <w:rFonts w:hint="eastAsia" w:ascii="宋体" w:hAnsi="宋体" w:cs="宋体"/>
                <w:sz w:val="21"/>
                <w:szCs w:val="21"/>
                <w:highlight w:val="none"/>
              </w:rPr>
              <w:t>职业健康安全管理事务代表任命为</w:t>
            </w:r>
            <w:r>
              <w:rPr>
                <w:rFonts w:hint="eastAsia" w:ascii="宋体" w:hAnsi="宋体" w:cs="宋体"/>
                <w:sz w:val="21"/>
                <w:szCs w:val="21"/>
                <w:highlight w:val="none"/>
                <w:lang w:val="en-US" w:eastAsia="zh-CN"/>
              </w:rPr>
              <w:t>李旭芳</w:t>
            </w:r>
            <w:r>
              <w:rPr>
                <w:rFonts w:hint="eastAsia" w:ascii="宋体" w:hAnsi="宋体" w:cs="宋体"/>
                <w:sz w:val="21"/>
                <w:szCs w:val="21"/>
                <w:highlight w:val="none"/>
              </w:rPr>
              <w:t>，公司对履行事务代表以及非管理类工作人员的协商与参与职责进行了规定。目前主要通过签订集体合同、开展内部座谈沟通等方式与公司进行协商和沟通。</w:t>
            </w:r>
          </w:p>
          <w:p>
            <w:pPr>
              <w:pStyle w:val="2"/>
              <w:keepLines w:val="0"/>
              <w:pageBreakBefore w:val="0"/>
              <w:widowControl w:val="0"/>
              <w:kinsoku/>
              <w:wordWrap/>
              <w:overflowPunct/>
              <w:topLinePunct w:val="0"/>
              <w:autoSpaceDE/>
              <w:autoSpaceDN/>
              <w:bidi w:val="0"/>
              <w:adjustRightInd/>
              <w:spacing w:line="240" w:lineRule="auto"/>
              <w:ind w:firstLine="420" w:firstLineChars="200"/>
              <w:textAlignment w:val="auto"/>
              <w:rPr>
                <w:rFonts w:hint="eastAsia"/>
                <w:sz w:val="21"/>
                <w:szCs w:val="21"/>
                <w:highlight w:val="none"/>
              </w:rPr>
            </w:pPr>
            <w:r>
              <w:rPr>
                <w:rFonts w:hint="eastAsia"/>
                <w:sz w:val="21"/>
                <w:szCs w:val="21"/>
                <w:highlight w:val="none"/>
              </w:rPr>
              <w:t xml:space="preserve"> 所有与职工相关活动基本全员参与和协商；本次职业健康安全体系建立，全体员工基本知晓。</w:t>
            </w:r>
          </w:p>
          <w:p>
            <w:pPr>
              <w:pStyle w:val="2"/>
              <w:keepLines w:val="0"/>
              <w:pageBreakBefore w:val="0"/>
              <w:widowControl w:val="0"/>
              <w:kinsoku/>
              <w:wordWrap/>
              <w:overflowPunct/>
              <w:topLinePunct w:val="0"/>
              <w:autoSpaceDE/>
              <w:autoSpaceDN/>
              <w:bidi w:val="0"/>
              <w:adjustRightInd/>
              <w:spacing w:line="240" w:lineRule="auto"/>
              <w:ind w:firstLine="420" w:firstLineChars="200"/>
              <w:textAlignment w:val="auto"/>
              <w:rPr>
                <w:rFonts w:hint="eastAsia"/>
                <w:sz w:val="21"/>
                <w:szCs w:val="21"/>
              </w:rPr>
            </w:pPr>
            <w:r>
              <w:rPr>
                <w:rFonts w:hint="eastAsia"/>
                <w:sz w:val="21"/>
                <w:szCs w:val="21"/>
                <w:highlight w:val="none"/>
              </w:rPr>
              <w:t>劳动待遇、休息时间、劳动劳保等相关方面的工作，由汪仕繁代表职</w:t>
            </w:r>
            <w:r>
              <w:rPr>
                <w:rFonts w:hint="eastAsia"/>
                <w:sz w:val="21"/>
                <w:szCs w:val="21"/>
              </w:rPr>
              <w:t>工直接与总经理沟通。</w:t>
            </w:r>
          </w:p>
          <w:p>
            <w:pPr>
              <w:pStyle w:val="2"/>
              <w:keepLines w:val="0"/>
              <w:pageBreakBefore w:val="0"/>
              <w:widowControl w:val="0"/>
              <w:kinsoku/>
              <w:wordWrap/>
              <w:overflowPunct/>
              <w:topLinePunct w:val="0"/>
              <w:autoSpaceDE/>
              <w:autoSpaceDN/>
              <w:bidi w:val="0"/>
              <w:adjustRightInd/>
              <w:spacing w:line="240" w:lineRule="auto"/>
              <w:ind w:firstLine="420" w:firstLineChars="200"/>
              <w:textAlignment w:val="auto"/>
              <w:rPr>
                <w:rFonts w:ascii="宋体" w:hAnsi="宋体" w:cs="宋体"/>
                <w:sz w:val="21"/>
                <w:szCs w:val="21"/>
              </w:rPr>
            </w:pPr>
            <w:r>
              <w:rPr>
                <w:rFonts w:hint="eastAsia"/>
                <w:sz w:val="21"/>
                <w:szCs w:val="21"/>
              </w:rPr>
              <w:t>在公司劳动期间，公司定期发放劳保用品：耳塞、手套、口罩等。疫情期间，统一要求员工上班测温，上下班途中配戴口罩。</w:t>
            </w:r>
          </w:p>
        </w:tc>
        <w:tc>
          <w:tcPr>
            <w:tcW w:w="1585" w:type="dxa"/>
          </w:tcPr>
          <w:p>
            <w:pPr>
              <w:keepLines w:val="0"/>
              <w:pageBreakBefore w:val="0"/>
              <w:widowControl w:val="0"/>
              <w:kinsoku/>
              <w:wordWrap/>
              <w:overflowPunct/>
              <w:topLinePunct w:val="0"/>
              <w:autoSpaceDE/>
              <w:autoSpaceDN/>
              <w:bidi w:val="0"/>
              <w:adjustRightInd/>
              <w:spacing w:line="240" w:lineRule="auto"/>
              <w:textAlignment w:val="auto"/>
              <w:rPr>
                <w:sz w:val="21"/>
                <w:szCs w:val="21"/>
              </w:rPr>
            </w:pPr>
            <w:r>
              <w:rPr>
                <w:rFonts w:hint="eastAsia"/>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2122"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宋体" w:hAnsi="宋体" w:cs="宋体"/>
                <w:sz w:val="21"/>
                <w:szCs w:val="21"/>
                <w:highlight w:val="none"/>
              </w:rPr>
            </w:pPr>
            <w:r>
              <w:rPr>
                <w:rFonts w:hint="eastAsia" w:ascii="宋体" w:hAnsi="宋体" w:cs="宋体"/>
                <w:sz w:val="21"/>
                <w:szCs w:val="21"/>
                <w:highlight w:val="none"/>
              </w:rPr>
              <w:t>应对风险和机遇的措施</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宋体" w:hAnsi="宋体" w:cs="宋体"/>
                <w:sz w:val="21"/>
                <w:szCs w:val="21"/>
                <w:highlight w:val="none"/>
              </w:rPr>
            </w:pPr>
          </w:p>
        </w:tc>
        <w:tc>
          <w:tcPr>
            <w:tcW w:w="998"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宋体"/>
                <w:sz w:val="21"/>
                <w:szCs w:val="21"/>
                <w:highlight w:val="none"/>
              </w:rPr>
            </w:pPr>
            <w:r>
              <w:rPr>
                <w:rFonts w:ascii="宋体" w:cs="宋体"/>
                <w:sz w:val="21"/>
                <w:szCs w:val="21"/>
                <w:highlight w:val="none"/>
              </w:rPr>
              <w:t>E6.1.1</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宋体" w:hAnsi="宋体" w:cs="宋体"/>
                <w:sz w:val="21"/>
                <w:szCs w:val="21"/>
                <w:highlight w:val="none"/>
              </w:rPr>
            </w:pPr>
            <w:r>
              <w:rPr>
                <w:sz w:val="21"/>
                <w:szCs w:val="21"/>
                <w:highlight w:val="none"/>
              </w:rPr>
              <w:t>O</w:t>
            </w:r>
            <w:r>
              <w:rPr>
                <w:rFonts w:ascii="宋体" w:hAnsi="宋体" w:cs="宋体"/>
                <w:sz w:val="21"/>
                <w:szCs w:val="21"/>
                <w:highlight w:val="none"/>
              </w:rPr>
              <w:t>6.1.1</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宋体" w:hAnsi="宋体" w:cs="宋体"/>
                <w:sz w:val="21"/>
                <w:szCs w:val="21"/>
                <w:highlight w:val="none"/>
              </w:rPr>
            </w:pPr>
          </w:p>
        </w:tc>
        <w:tc>
          <w:tcPr>
            <w:tcW w:w="10004" w:type="dxa"/>
            <w:vAlign w:val="center"/>
          </w:tcPr>
          <w:p>
            <w:pPr>
              <w:keepLines w:val="0"/>
              <w:pageBreakBefore w:val="0"/>
              <w:widowControl w:val="0"/>
              <w:kinsoku/>
              <w:wordWrap/>
              <w:overflowPunct/>
              <w:topLinePunct w:val="0"/>
              <w:autoSpaceDE/>
              <w:autoSpaceDN/>
              <w:bidi w:val="0"/>
              <w:adjustRightInd/>
              <w:spacing w:line="240" w:lineRule="auto"/>
              <w:ind w:firstLine="420" w:firstLineChars="200"/>
              <w:textAlignment w:val="auto"/>
              <w:rPr>
                <w:rFonts w:ascii="宋体" w:hAnsi="宋体" w:cs="宋体"/>
                <w:sz w:val="21"/>
                <w:szCs w:val="21"/>
                <w:highlight w:val="none"/>
              </w:rPr>
            </w:pPr>
            <w:r>
              <w:rPr>
                <w:rFonts w:hint="eastAsia" w:ascii="宋体" w:hAnsi="宋体" w:cs="宋体"/>
                <w:sz w:val="21"/>
                <w:szCs w:val="21"/>
                <w:highlight w:val="none"/>
              </w:rPr>
              <w:t>1.外部因素主要有：a)社会和文化、政治、法律、监管、金融、技术、经济、自然环境和竞争环境；b)影响公司管理目标的主要驱动和趋势；c)与外部利益相关者的价值观的关系。如国家政策、标准、法律法规及其他要求的变动等。</w:t>
            </w:r>
          </w:p>
          <w:p>
            <w:pPr>
              <w:keepLines w:val="0"/>
              <w:pageBreakBefore w:val="0"/>
              <w:widowControl w:val="0"/>
              <w:kinsoku/>
              <w:wordWrap/>
              <w:overflowPunct/>
              <w:topLinePunct w:val="0"/>
              <w:autoSpaceDE/>
              <w:autoSpaceDN/>
              <w:bidi w:val="0"/>
              <w:adjustRightInd/>
              <w:spacing w:line="240" w:lineRule="auto"/>
              <w:ind w:firstLine="420" w:firstLineChars="200"/>
              <w:textAlignment w:val="auto"/>
              <w:rPr>
                <w:rFonts w:ascii="宋体" w:hAnsi="宋体" w:cs="宋体"/>
                <w:sz w:val="21"/>
                <w:szCs w:val="21"/>
                <w:highlight w:val="none"/>
              </w:rPr>
            </w:pPr>
            <w:r>
              <w:rPr>
                <w:rFonts w:hint="eastAsia" w:ascii="宋体" w:hAnsi="宋体" w:cs="宋体"/>
                <w:sz w:val="21"/>
                <w:szCs w:val="21"/>
                <w:highlight w:val="none"/>
              </w:rPr>
              <w:t>2.内部因素包括：a)组织机构，角色和责任；b)政策、目标、实现目标的战略；c)能力、资源和知识（资本、时间、人、能力、流程、系统和技术等）；d)内部利益相关者的价值观与组织文化之间的关系；e)信息系统、信息流和决策流程；f)合同关系的形成和范围。</w:t>
            </w:r>
          </w:p>
          <w:p>
            <w:pPr>
              <w:keepLines w:val="0"/>
              <w:pageBreakBefore w:val="0"/>
              <w:widowControl w:val="0"/>
              <w:kinsoku/>
              <w:wordWrap/>
              <w:overflowPunct/>
              <w:topLinePunct w:val="0"/>
              <w:autoSpaceDE/>
              <w:autoSpaceDN/>
              <w:bidi w:val="0"/>
              <w:adjustRightInd/>
              <w:spacing w:line="240" w:lineRule="auto"/>
              <w:ind w:firstLine="420" w:firstLineChars="200"/>
              <w:textAlignment w:val="auto"/>
              <w:rPr>
                <w:rFonts w:hint="default" w:ascii="宋体" w:hAnsi="宋体" w:cs="宋体"/>
                <w:sz w:val="21"/>
                <w:szCs w:val="21"/>
                <w:highlight w:val="none"/>
                <w:lang w:val="en-US"/>
              </w:rPr>
            </w:pPr>
            <w:r>
              <w:rPr>
                <w:rFonts w:hint="eastAsia" w:ascii="宋体" w:hAnsi="宋体" w:cs="宋体"/>
                <w:sz w:val="21"/>
                <w:szCs w:val="21"/>
                <w:highlight w:val="none"/>
              </w:rPr>
              <w:t>3.在策划管理体系时考虑了风险和机遇以及相应的应对措施，制定了《风险和机遇的应对控制程序》，明确风险和机遇事件的识别方法/途径、风险和机遇事件的评估方式、制定主要风险和机遇事件的应对措施的要求、评价这些措施有效性的方法。将需要应对的风险和机遇进行风险分析确定风险级别（一般风险、高风险），在管理体系所确定的过程（人员健康安全等）中，整合制定针对性管理措施（如公司招聘合适的员工，定期对员工进行考核和培训，开展日常的教育活动等）。提供了“企业风险和机遇应对策划表”，已认真交流风险如</w:t>
            </w:r>
            <w:r>
              <w:rPr>
                <w:rFonts w:hint="eastAsia" w:ascii="宋体" w:hAnsi="宋体" w:cs="宋体"/>
                <w:sz w:val="21"/>
                <w:szCs w:val="21"/>
                <w:highlight w:val="none"/>
                <w:lang w:val="en-US" w:eastAsia="zh-CN"/>
              </w:rPr>
              <w:t>消防安全引起的人员伤亡或财产损失，根据生产经营企业安全管理规范要求，落实责任制等措施。</w:t>
            </w:r>
          </w:p>
        </w:tc>
        <w:tc>
          <w:tcPr>
            <w:tcW w:w="1585" w:type="dxa"/>
          </w:tcPr>
          <w:p>
            <w:pPr>
              <w:keepLines w:val="0"/>
              <w:pageBreakBefore w:val="0"/>
              <w:widowControl w:val="0"/>
              <w:kinsoku/>
              <w:wordWrap/>
              <w:overflowPunct/>
              <w:topLinePunct w:val="0"/>
              <w:autoSpaceDE/>
              <w:autoSpaceDN/>
              <w:bidi w:val="0"/>
              <w:adjustRightInd/>
              <w:spacing w:line="240" w:lineRule="auto"/>
              <w:textAlignment w:val="auto"/>
              <w:rPr>
                <w:sz w:val="21"/>
                <w:szCs w:val="21"/>
              </w:rPr>
            </w:pPr>
            <w:r>
              <w:rPr>
                <w:rFonts w:hint="eastAsia"/>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2122" w:type="dxa"/>
            <w:vAlign w:val="top"/>
          </w:tcPr>
          <w:p>
            <w:pPr>
              <w:rPr>
                <w:rFonts w:ascii="宋体" w:hAnsi="宋体" w:cs="Arial"/>
                <w:szCs w:val="21"/>
              </w:rPr>
            </w:pPr>
            <w:r>
              <w:rPr>
                <w:rFonts w:hint="eastAsia" w:ascii="宋体" w:hAnsi="宋体" w:cs="Arial"/>
                <w:szCs w:val="21"/>
              </w:rPr>
              <w:t>环境因素辨识与评价</w:t>
            </w:r>
          </w:p>
          <w:p>
            <w:pPr>
              <w:rPr>
                <w:rFonts w:hint="eastAsia" w:ascii="宋体" w:hAnsi="宋体" w:eastAsia="宋体" w:cs="Arial"/>
                <w:kern w:val="2"/>
                <w:sz w:val="21"/>
                <w:szCs w:val="21"/>
                <w:lang w:val="en-US" w:eastAsia="zh-CN" w:bidi="ar-SA"/>
              </w:rPr>
            </w:pPr>
            <w:r>
              <w:rPr>
                <w:rFonts w:hint="eastAsia" w:ascii="宋体" w:hAnsi="宋体" w:cs="Arial"/>
                <w:szCs w:val="21"/>
              </w:rPr>
              <w:t>危险源识别与评价</w:t>
            </w:r>
          </w:p>
        </w:tc>
        <w:tc>
          <w:tcPr>
            <w:tcW w:w="998" w:type="dxa"/>
            <w:vAlign w:val="top"/>
          </w:tcPr>
          <w:p>
            <w:pPr>
              <w:rPr>
                <w:rFonts w:ascii="宋体" w:hAnsi="宋体" w:cs="Arial"/>
                <w:szCs w:val="21"/>
              </w:rPr>
            </w:pPr>
            <w:r>
              <w:rPr>
                <w:rFonts w:ascii="宋体" w:hAnsi="宋体" w:cs="Arial"/>
                <w:szCs w:val="21"/>
              </w:rPr>
              <w:t>EO</w:t>
            </w:r>
          </w:p>
          <w:p>
            <w:pPr>
              <w:rPr>
                <w:rFonts w:ascii="宋体" w:hAnsi="宋体" w:eastAsia="宋体" w:cs="Arial"/>
                <w:kern w:val="2"/>
                <w:sz w:val="21"/>
                <w:szCs w:val="21"/>
                <w:lang w:val="en-US" w:eastAsia="zh-CN" w:bidi="ar-SA"/>
              </w:rPr>
            </w:pPr>
            <w:r>
              <w:rPr>
                <w:rFonts w:hint="eastAsia" w:ascii="宋体" w:hAnsi="宋体" w:cs="Arial"/>
                <w:szCs w:val="21"/>
              </w:rPr>
              <w:t>6.1.2</w:t>
            </w:r>
          </w:p>
        </w:tc>
        <w:tc>
          <w:tcPr>
            <w:tcW w:w="10004" w:type="dxa"/>
            <w:vAlign w:val="center"/>
          </w:tcPr>
          <w:p>
            <w:pPr>
              <w:spacing w:line="280" w:lineRule="exact"/>
              <w:ind w:firstLine="420" w:firstLineChars="200"/>
              <w:rPr>
                <w:szCs w:val="21"/>
              </w:rPr>
            </w:pPr>
            <w:r>
              <w:rPr>
                <w:rFonts w:hint="eastAsia"/>
                <w:szCs w:val="21"/>
              </w:rPr>
              <w:t>1)提供《</w:t>
            </w:r>
            <w:r>
              <w:rPr>
                <w:rFonts w:hint="eastAsia"/>
                <w:szCs w:val="21"/>
                <w:lang w:eastAsia="zh-CN"/>
              </w:rPr>
              <w:t>环境因素识别、评价与控制程序</w:t>
            </w:r>
            <w:r>
              <w:rPr>
                <w:rFonts w:hint="eastAsia"/>
                <w:szCs w:val="21"/>
              </w:rPr>
              <w:t>》用以指导进行环境因素的识别、登记评价，以确定重要环境因素以及对环境因素的定期更新，环境因素的识别和确定考虑生命周期观点。</w:t>
            </w:r>
          </w:p>
          <w:p>
            <w:pPr>
              <w:spacing w:line="280" w:lineRule="exact"/>
              <w:ind w:firstLine="420" w:firstLineChars="200"/>
              <w:rPr>
                <w:szCs w:val="21"/>
              </w:rPr>
            </w:pPr>
            <w:r>
              <w:rPr>
                <w:rFonts w:hint="eastAsia"/>
                <w:szCs w:val="21"/>
              </w:rPr>
              <w:t>提供了《环境因素识别</w:t>
            </w:r>
            <w:r>
              <w:rPr>
                <w:rFonts w:hint="eastAsia"/>
                <w:szCs w:val="21"/>
                <w:lang w:eastAsia="zh-CN"/>
              </w:rPr>
              <w:t>、</w:t>
            </w:r>
            <w:r>
              <w:rPr>
                <w:rFonts w:hint="eastAsia"/>
                <w:szCs w:val="21"/>
              </w:rPr>
              <w:t>评价表》</w:t>
            </w:r>
            <w:r>
              <w:rPr>
                <w:rFonts w:hint="eastAsia"/>
                <w:szCs w:val="21"/>
                <w:lang w:eastAsia="zh-CN"/>
              </w:rPr>
              <w:t>，</w:t>
            </w:r>
            <w:r>
              <w:rPr>
                <w:rFonts w:hint="eastAsia"/>
                <w:szCs w:val="21"/>
              </w:rPr>
              <w:t>识别的环境因素标明时态、状态和对环境的影响</w:t>
            </w:r>
            <w:r>
              <w:rPr>
                <w:rFonts w:hint="eastAsia"/>
                <w:szCs w:val="21"/>
                <w:lang w:eastAsia="zh-CN"/>
              </w:rPr>
              <w:t>，</w:t>
            </w:r>
            <w:r>
              <w:rPr>
                <w:rFonts w:hint="eastAsia"/>
                <w:szCs w:val="21"/>
                <w:lang w:val="en-US" w:eastAsia="zh-CN"/>
              </w:rPr>
              <w:t>并指制定措施</w:t>
            </w:r>
            <w:r>
              <w:rPr>
                <w:rFonts w:hint="eastAsia"/>
                <w:szCs w:val="21"/>
              </w:rPr>
              <w:t>；经查阅识别出对在办公活动中产生</w:t>
            </w:r>
            <w:r>
              <w:rPr>
                <w:rFonts w:hint="eastAsia"/>
                <w:szCs w:val="21"/>
                <w:lang w:val="en-US" w:eastAsia="zh-CN"/>
              </w:rPr>
              <w:t>办公活动纸的消耗、粉墨的使用、墨盒废弃，生产过程中拉丝退火、氩弧自动焊接、挤出塑料等设备噪声排放、废气排放、电能消耗</w:t>
            </w:r>
            <w:r>
              <w:rPr>
                <w:rFonts w:hint="eastAsia"/>
                <w:szCs w:val="21"/>
              </w:rPr>
              <w:t>等环境因素及考虑到环境管理体系发生变更时可能产生的环境因素。</w:t>
            </w:r>
          </w:p>
          <w:p>
            <w:pPr>
              <w:spacing w:line="280" w:lineRule="exact"/>
              <w:ind w:firstLine="420" w:firstLineChars="200"/>
              <w:rPr>
                <w:rFonts w:hint="eastAsia"/>
                <w:szCs w:val="21"/>
                <w:lang w:eastAsia="zh-CN"/>
              </w:rPr>
            </w:pPr>
            <w:r>
              <w:rPr>
                <w:rFonts w:hint="eastAsia"/>
                <w:szCs w:val="21"/>
              </w:rPr>
              <w:t>提供了“重要环境因素控制清单”：</w:t>
            </w:r>
            <w:r>
              <w:rPr>
                <w:rFonts w:hint="eastAsia"/>
                <w:szCs w:val="21"/>
                <w:lang w:val="en-US" w:eastAsia="zh-CN"/>
              </w:rPr>
              <w:t>包含潜在火灾爆炸，废料排放、噪声排放、废气排放、</w:t>
            </w:r>
            <w:r>
              <w:rPr>
                <w:rFonts w:hint="eastAsia"/>
                <w:szCs w:val="21"/>
              </w:rPr>
              <w:t>资源的消耗</w:t>
            </w:r>
            <w:r>
              <w:rPr>
                <w:rFonts w:hint="eastAsia"/>
                <w:szCs w:val="21"/>
                <w:lang w:eastAsia="zh-CN"/>
              </w:rPr>
              <w:t>、</w:t>
            </w:r>
            <w:r>
              <w:rPr>
                <w:rFonts w:hint="eastAsia"/>
                <w:szCs w:val="21"/>
              </w:rPr>
              <w:t>潜在火灾事故的发生</w:t>
            </w:r>
            <w:r>
              <w:rPr>
                <w:rFonts w:hint="eastAsia"/>
                <w:szCs w:val="21"/>
                <w:lang w:val="en-US" w:eastAsia="zh-CN"/>
              </w:rPr>
              <w:t>等；</w:t>
            </w:r>
            <w:r>
              <w:rPr>
                <w:rFonts w:hint="eastAsia"/>
                <w:szCs w:val="21"/>
              </w:rPr>
              <w:t>针对重要环境因素，提供了管理方案/应急准备和响应控制程序</w:t>
            </w:r>
            <w:r>
              <w:rPr>
                <w:rFonts w:hint="eastAsia"/>
                <w:szCs w:val="21"/>
                <w:lang w:eastAsia="zh-CN"/>
              </w:rPr>
              <w:t>。</w:t>
            </w:r>
          </w:p>
          <w:p>
            <w:pPr>
              <w:spacing w:line="280" w:lineRule="exact"/>
              <w:ind w:firstLine="420" w:firstLineChars="200"/>
              <w:rPr>
                <w:szCs w:val="21"/>
              </w:rPr>
            </w:pPr>
            <w:r>
              <w:rPr>
                <w:rFonts w:hint="eastAsia"/>
                <w:szCs w:val="21"/>
              </w:rPr>
              <w:t>2）提供了公司制定《</w:t>
            </w:r>
            <w:r>
              <w:rPr>
                <w:rFonts w:hint="eastAsia"/>
                <w:szCs w:val="21"/>
                <w:lang w:eastAsia="zh-CN"/>
              </w:rPr>
              <w:t>危险源辨识、评价和风险控制程序</w:t>
            </w:r>
            <w:r>
              <w:rPr>
                <w:rFonts w:hint="eastAsia"/>
                <w:szCs w:val="21"/>
              </w:rPr>
              <w:t>》确保公司在所有管理活动或服务过程中能最大限度、充分地进行危险源辨识与风险性评价，确定不可接受风险并及时更新，实现对危险源与不可接受风险的有效控制。</w:t>
            </w:r>
          </w:p>
          <w:p>
            <w:pPr>
              <w:spacing w:line="280" w:lineRule="exact"/>
              <w:ind w:firstLine="420" w:firstLineChars="200"/>
              <w:rPr>
                <w:rFonts w:hint="eastAsia"/>
                <w:szCs w:val="21"/>
              </w:rPr>
            </w:pPr>
            <w:r>
              <w:rPr>
                <w:rFonts w:hint="eastAsia"/>
                <w:szCs w:val="21"/>
              </w:rPr>
              <w:t>提供了《危险源调查和评价表》，对活动场所产生的危险源辨识并进行风险评价，以确定控制措施，经查阅已辨识</w:t>
            </w:r>
            <w:r>
              <w:rPr>
                <w:rFonts w:hint="eastAsia"/>
                <w:szCs w:val="21"/>
                <w:lang w:val="en-US" w:eastAsia="zh-CN"/>
              </w:rPr>
              <w:t>上下班途中超速、疲劳驾驶，设备检修过程的火灾、触电，生产现场废弃、粉尘排放等造成的人身伤害</w:t>
            </w:r>
            <w:r>
              <w:rPr>
                <w:rFonts w:hint="eastAsia"/>
                <w:szCs w:val="21"/>
              </w:rPr>
              <w:t>。编</w:t>
            </w:r>
            <w:r>
              <w:rPr>
                <w:rFonts w:hint="eastAsia" w:eastAsia="宋体"/>
                <w:szCs w:val="21"/>
              </w:rPr>
              <w:t>制：</w:t>
            </w:r>
            <w:r>
              <w:rPr>
                <w:rFonts w:hint="eastAsia" w:eastAsia="宋体"/>
                <w:szCs w:val="21"/>
                <w:lang w:eastAsia="zh-CN"/>
              </w:rPr>
              <w:t>曹玉婷</w:t>
            </w:r>
            <w:r>
              <w:rPr>
                <w:rFonts w:hint="eastAsia" w:eastAsia="宋体"/>
                <w:szCs w:val="21"/>
              </w:rPr>
              <w:t xml:space="preserve"> 审批：</w:t>
            </w:r>
            <w:r>
              <w:rPr>
                <w:rFonts w:hint="eastAsia" w:eastAsia="宋体"/>
                <w:szCs w:val="21"/>
                <w:lang w:val="en-US" w:eastAsia="zh-CN"/>
              </w:rPr>
              <w:t>王永法  2021.1.15</w:t>
            </w:r>
            <w:r>
              <w:rPr>
                <w:rFonts w:hint="eastAsia" w:eastAsia="宋体"/>
                <w:szCs w:val="21"/>
                <w:lang w:eastAsia="zh-CN"/>
              </w:rPr>
              <w:t>。</w:t>
            </w:r>
            <w:r>
              <w:rPr>
                <w:rFonts w:hint="eastAsia" w:eastAsia="宋体"/>
                <w:szCs w:val="21"/>
              </w:rPr>
              <w:t xml:space="preserve">   </w:t>
            </w:r>
            <w:r>
              <w:rPr>
                <w:rFonts w:hint="eastAsia"/>
                <w:szCs w:val="21"/>
              </w:rPr>
              <w:t xml:space="preserve"> </w:t>
            </w:r>
          </w:p>
          <w:p>
            <w:pPr>
              <w:spacing w:line="280" w:lineRule="exact"/>
              <w:ind w:firstLine="420" w:firstLineChars="200"/>
              <w:rPr>
                <w:rFonts w:hint="eastAsia" w:ascii="Times New Roman" w:hAnsi="Times New Roman" w:eastAsia="宋体" w:cs="Times New Roman"/>
                <w:kern w:val="2"/>
                <w:sz w:val="21"/>
                <w:szCs w:val="21"/>
                <w:lang w:val="en-US" w:eastAsia="zh-CN" w:bidi="ar-SA"/>
              </w:rPr>
            </w:pPr>
            <w:r>
              <w:rPr>
                <w:rFonts w:hint="eastAsia"/>
                <w:szCs w:val="21"/>
              </w:rPr>
              <w:t>由各部门有管理经验的人员共同讨论、采用经验法确定不可接受风险。提供了《</w:t>
            </w:r>
            <w:r>
              <w:rPr>
                <w:rFonts w:hint="eastAsia"/>
                <w:szCs w:val="21"/>
                <w:lang w:val="en-US" w:eastAsia="zh-CN"/>
              </w:rPr>
              <w:t>重点控制</w:t>
            </w:r>
            <w:r>
              <w:rPr>
                <w:rFonts w:hint="eastAsia"/>
                <w:szCs w:val="21"/>
              </w:rPr>
              <w:t>危险源</w:t>
            </w:r>
            <w:r>
              <w:rPr>
                <w:rFonts w:hint="eastAsia"/>
                <w:szCs w:val="21"/>
                <w:lang w:val="en-US" w:eastAsia="zh-CN"/>
              </w:rPr>
              <w:t>清单</w:t>
            </w:r>
            <w:r>
              <w:rPr>
                <w:rFonts w:hint="eastAsia"/>
                <w:szCs w:val="21"/>
              </w:rPr>
              <w:t>》有：</w:t>
            </w:r>
            <w:r>
              <w:rPr>
                <w:rFonts w:hint="eastAsia"/>
                <w:szCs w:val="21"/>
                <w:lang w:val="en-US" w:eastAsia="zh-CN"/>
              </w:rPr>
              <w:t>设备检修过程的火灾、触电，机械伤害、生产现场废弃、废气排放等造成的人身伤害</w:t>
            </w:r>
            <w:r>
              <w:rPr>
                <w:rFonts w:hint="eastAsia"/>
                <w:szCs w:val="21"/>
              </w:rPr>
              <w:t>；针对</w:t>
            </w:r>
            <w:r>
              <w:rPr>
                <w:rFonts w:hint="eastAsia"/>
                <w:szCs w:val="21"/>
                <w:lang w:val="en-US" w:eastAsia="zh-CN"/>
              </w:rPr>
              <w:t>只要危险源</w:t>
            </w:r>
            <w:r>
              <w:rPr>
                <w:rFonts w:hint="eastAsia"/>
                <w:szCs w:val="21"/>
              </w:rPr>
              <w:t>制</w:t>
            </w:r>
            <w:r>
              <w:rPr>
                <w:rFonts w:hint="eastAsia"/>
                <w:szCs w:val="21"/>
                <w:lang w:val="en-US" w:eastAsia="zh-CN"/>
              </w:rPr>
              <w:t>定控制措施，</w:t>
            </w:r>
            <w:r>
              <w:rPr>
                <w:rFonts w:hint="eastAsia"/>
                <w:szCs w:val="21"/>
              </w:rPr>
              <w:t>提供了</w:t>
            </w:r>
            <w:r>
              <w:rPr>
                <w:rFonts w:hint="eastAsia"/>
                <w:szCs w:val="21"/>
                <w:lang w:val="en-US" w:eastAsia="zh-CN"/>
              </w:rPr>
              <w:t>环境、职业健康安全闭幕指标与</w:t>
            </w:r>
            <w:r>
              <w:rPr>
                <w:rFonts w:hint="eastAsia"/>
                <w:szCs w:val="21"/>
              </w:rPr>
              <w:t>管理方案</w:t>
            </w:r>
            <w:r>
              <w:rPr>
                <w:rFonts w:hint="eastAsia"/>
                <w:szCs w:val="21"/>
                <w:lang w:eastAsia="zh-CN"/>
              </w:rPr>
              <w:t>。</w:t>
            </w:r>
          </w:p>
        </w:tc>
        <w:tc>
          <w:tcPr>
            <w:tcW w:w="1585" w:type="dxa"/>
            <w:vAlign w:val="top"/>
          </w:tcPr>
          <w:p>
            <w:pPr>
              <w:rPr>
                <w:rFonts w:hint="eastAsia" w:ascii="Times New Roman" w:hAnsi="Times New Roman" w:eastAsia="宋体" w:cs="Times New Roman"/>
                <w:kern w:val="2"/>
                <w:sz w:val="21"/>
                <w:lang w:val="en-US" w:eastAsia="zh-CN" w:bidi="ar-SA"/>
              </w:rPr>
            </w:pPr>
            <w:r>
              <w:rPr>
                <w:rFonts w:hint="eastAsia" w:cs="Times New Roman"/>
                <w:kern w:val="2"/>
                <w:sz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2122" w:type="dxa"/>
            <w:vAlign w:val="top"/>
          </w:tcPr>
          <w:p>
            <w:r>
              <w:rPr>
                <w:rFonts w:hint="eastAsia"/>
              </w:rPr>
              <w:t>环境和职业健康安全的合规义务</w:t>
            </w:r>
          </w:p>
          <w:p>
            <w:pPr>
              <w:rPr>
                <w:rFonts w:ascii="Times New Roman" w:hAnsi="Times New Roman" w:eastAsia="宋体" w:cs="Times New Roman"/>
                <w:kern w:val="2"/>
                <w:sz w:val="21"/>
                <w:lang w:val="en-US" w:eastAsia="zh-CN" w:bidi="ar-SA"/>
              </w:rPr>
            </w:pPr>
            <w:r>
              <w:rPr>
                <w:rFonts w:hint="eastAsia"/>
              </w:rPr>
              <w:t>合规性评价</w:t>
            </w:r>
          </w:p>
        </w:tc>
        <w:tc>
          <w:tcPr>
            <w:tcW w:w="998" w:type="dxa"/>
            <w:vAlign w:val="top"/>
          </w:tcPr>
          <w:p>
            <w:r>
              <w:t>EO6.1.3</w:t>
            </w:r>
          </w:p>
          <w:p>
            <w:pPr>
              <w:rPr>
                <w:rFonts w:ascii="Times New Roman" w:hAnsi="Times New Roman" w:eastAsia="宋体" w:cs="Times New Roman"/>
                <w:kern w:val="2"/>
                <w:sz w:val="21"/>
                <w:lang w:val="en-US" w:eastAsia="zh-CN" w:bidi="ar-SA"/>
              </w:rPr>
            </w:pPr>
            <w:r>
              <w:t>E09.1.2</w:t>
            </w:r>
          </w:p>
        </w:tc>
        <w:tc>
          <w:tcPr>
            <w:tcW w:w="10004" w:type="dxa"/>
            <w:vAlign w:val="center"/>
          </w:tcPr>
          <w:p>
            <w:pPr>
              <w:spacing w:line="280" w:lineRule="exact"/>
              <w:ind w:firstLine="420" w:firstLineChars="200"/>
              <w:rPr>
                <w:rFonts w:hint="eastAsia" w:ascii="宋体" w:hAnsi="宋体" w:eastAsia="宋体" w:cs="宋体"/>
                <w:kern w:val="2"/>
                <w:sz w:val="21"/>
                <w:szCs w:val="21"/>
                <w:lang w:val="en-US" w:eastAsia="zh-CN" w:bidi="ar-SA"/>
              </w:rPr>
            </w:pPr>
            <w:r>
              <w:rPr>
                <w:rFonts w:hint="eastAsia" w:ascii="宋体" w:hAnsi="宋体" w:cs="宋体"/>
                <w:szCs w:val="21"/>
              </w:rPr>
              <w:t>公司编制了《合规性评价管理程序》对合规义务和合规性评价进行了管理。公司建立、实施并保持程序来识别与公司的活动、产品和服务有关的法律、法规和其它要求，并建立获取这些要求的渠道。确定适用的法律、法规和其它要求如何运用到公司的活动、产品和服务以及相关的环境因素和风险因素。查所提供的《</w:t>
            </w:r>
            <w:r>
              <w:rPr>
                <w:rFonts w:hint="eastAsia" w:ascii="宋体" w:hAnsi="宋体" w:cs="宋体"/>
                <w:szCs w:val="21"/>
                <w:lang w:val="en-US" w:eastAsia="zh-CN"/>
              </w:rPr>
              <w:t>适用</w:t>
            </w:r>
            <w:r>
              <w:rPr>
                <w:rFonts w:hint="eastAsia" w:ascii="宋体" w:hAnsi="宋体" w:cs="宋体"/>
                <w:szCs w:val="21"/>
              </w:rPr>
              <w:t>法律法规</w:t>
            </w:r>
            <w:r>
              <w:rPr>
                <w:rFonts w:hint="eastAsia" w:ascii="宋体" w:hAnsi="宋体" w:cs="宋体"/>
                <w:szCs w:val="21"/>
                <w:lang w:val="en-US" w:eastAsia="zh-CN"/>
              </w:rPr>
              <w:t>清单和其他要求一览表</w:t>
            </w:r>
            <w:r>
              <w:rPr>
                <w:rFonts w:hint="eastAsia" w:ascii="宋体" w:hAnsi="宋体" w:cs="宋体"/>
                <w:szCs w:val="21"/>
              </w:rPr>
              <w:t>》，基本涵盖所涉及的各相关方。</w:t>
            </w:r>
          </w:p>
        </w:tc>
        <w:tc>
          <w:tcPr>
            <w:tcW w:w="1585" w:type="dxa"/>
            <w:vAlign w:val="top"/>
          </w:tcPr>
          <w:p>
            <w:pPr>
              <w:rPr>
                <w:rFonts w:hint="eastAsia" w:ascii="Times New Roman" w:hAnsi="Times New Roman" w:eastAsia="宋体" w:cs="Times New Roman"/>
                <w:kern w:val="2"/>
                <w:sz w:val="21"/>
                <w:lang w:val="en-US" w:eastAsia="zh-CN" w:bidi="ar-SA"/>
              </w:rPr>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2122"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sz w:val="21"/>
                <w:szCs w:val="21"/>
              </w:rPr>
            </w:pPr>
            <w:r>
              <w:rPr>
                <w:rFonts w:hint="eastAsia" w:cs="宋体"/>
                <w:sz w:val="21"/>
                <w:szCs w:val="21"/>
              </w:rPr>
              <w:t>措施的策划</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宋体" w:hAnsi="宋体" w:cs="宋体"/>
                <w:sz w:val="21"/>
                <w:szCs w:val="21"/>
              </w:rPr>
            </w:pPr>
          </w:p>
        </w:tc>
        <w:tc>
          <w:tcPr>
            <w:tcW w:w="998"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sz w:val="21"/>
                <w:szCs w:val="21"/>
              </w:rPr>
            </w:pPr>
            <w:r>
              <w:rPr>
                <w:rFonts w:hint="eastAsia"/>
                <w:sz w:val="21"/>
                <w:szCs w:val="21"/>
              </w:rPr>
              <w:t>E</w:t>
            </w:r>
            <w:r>
              <w:rPr>
                <w:sz w:val="21"/>
                <w:szCs w:val="21"/>
              </w:rPr>
              <w:t>O</w:t>
            </w:r>
            <w:r>
              <w:rPr>
                <w:rFonts w:hint="eastAsia"/>
                <w:sz w:val="21"/>
                <w:szCs w:val="21"/>
              </w:rPr>
              <w:t>6.1.4</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sz w:val="21"/>
                <w:szCs w:val="21"/>
              </w:rPr>
            </w:pPr>
          </w:p>
        </w:tc>
        <w:tc>
          <w:tcPr>
            <w:tcW w:w="10004" w:type="dxa"/>
            <w:vAlign w:val="center"/>
          </w:tcPr>
          <w:p>
            <w:pPr>
              <w:spacing w:line="280" w:lineRule="exact"/>
              <w:ind w:firstLine="420" w:firstLineChars="200"/>
              <w:rPr>
                <w:rFonts w:hint="default" w:ascii="宋体" w:hAnsi="宋体" w:eastAsia="宋体"/>
                <w:color w:val="000000"/>
                <w:szCs w:val="21"/>
                <w:lang w:val="en-US" w:eastAsia="zh-CN"/>
              </w:rPr>
            </w:pPr>
            <w:r>
              <w:rPr>
                <w:rFonts w:hint="eastAsia"/>
                <w:szCs w:val="21"/>
                <w:lang w:val="en-US" w:eastAsia="zh-CN"/>
              </w:rPr>
              <w:t>针对重要危险源及重要环境因素都制定了相应的控制措施</w:t>
            </w:r>
            <w:r>
              <w:rPr>
                <w:rFonts w:hint="eastAsia" w:ascii="宋体" w:hAnsi="宋体" w:cs="宋体"/>
                <w:kern w:val="0"/>
                <w:szCs w:val="21"/>
                <w:lang w:val="en-US" w:eastAsia="zh-CN"/>
              </w:rPr>
              <w:t>。</w:t>
            </w:r>
            <w:r>
              <w:rPr>
                <w:rFonts w:hint="eastAsia" w:ascii="宋体" w:hAnsi="宋体" w:cs="宋体"/>
                <w:szCs w:val="21"/>
              </w:rPr>
              <w:t>环境、职业健康安全管理方案中明确为实现环境、职业健康安全目标和指标的责任部门；规定实现环境、职业健康安全目标和指标的时间；具体措施和经费预算。</w:t>
            </w:r>
            <w:r>
              <w:rPr>
                <w:rFonts w:hint="eastAsia" w:ascii="宋体" w:hAnsi="宋体" w:cs="宋体"/>
                <w:szCs w:val="21"/>
                <w:lang w:val="en-US" w:eastAsia="zh-CN"/>
              </w:rPr>
              <w:t>例如：</w:t>
            </w:r>
            <w:r>
              <w:rPr>
                <w:rFonts w:hint="eastAsia" w:ascii="宋体" w:hAnsi="宋体"/>
                <w:szCs w:val="21"/>
                <w:lang w:val="en-US" w:eastAsia="zh-CN"/>
              </w:rPr>
              <w:t>设备噪声的制定了控制措施：</w:t>
            </w:r>
            <w:r>
              <w:rPr>
                <w:rFonts w:hint="eastAsia" w:ascii="宋体" w:hAnsi="宋体"/>
                <w:color w:val="000000"/>
                <w:szCs w:val="21"/>
                <w:lang w:val="en-US" w:eastAsia="zh-CN"/>
              </w:rPr>
              <w:t>执行《环境运行控制程序》，采用设备隔离，封闭措施扽给。</w:t>
            </w:r>
          </w:p>
          <w:p>
            <w:pPr>
              <w:keepLines w:val="0"/>
              <w:pageBreakBefore w:val="0"/>
              <w:widowControl w:val="0"/>
              <w:kinsoku/>
              <w:wordWrap/>
              <w:overflowPunct/>
              <w:topLinePunct w:val="0"/>
              <w:autoSpaceDE/>
              <w:autoSpaceDN/>
              <w:bidi w:val="0"/>
              <w:adjustRightInd/>
              <w:spacing w:line="240" w:lineRule="auto"/>
              <w:ind w:firstLine="420" w:firstLineChars="200"/>
              <w:textAlignment w:val="auto"/>
              <w:rPr>
                <w:rFonts w:ascii="宋体" w:hAnsi="宋体" w:cs="宋体"/>
                <w:sz w:val="21"/>
                <w:szCs w:val="21"/>
              </w:rPr>
            </w:pPr>
            <w:r>
              <w:rPr>
                <w:rFonts w:hint="eastAsia" w:ascii="宋体" w:hAnsi="宋体" w:cs="宋体"/>
                <w:szCs w:val="21"/>
              </w:rPr>
              <w:t>环境、职业健康安全管理方案的实施，</w:t>
            </w:r>
            <w:r>
              <w:rPr>
                <w:rFonts w:hint="eastAsia" w:ascii="宋体" w:hAnsi="宋体" w:cs="宋体"/>
                <w:szCs w:val="21"/>
                <w:lang w:val="en-US" w:eastAsia="zh-CN"/>
              </w:rPr>
              <w:t>每个季度</w:t>
            </w:r>
            <w:r>
              <w:rPr>
                <w:rFonts w:hint="eastAsia" w:ascii="宋体" w:hAnsi="宋体" w:cs="宋体"/>
                <w:szCs w:val="21"/>
              </w:rPr>
              <w:t>对方案实施情况进行检查跟踪；</w:t>
            </w:r>
            <w:r>
              <w:rPr>
                <w:rFonts w:hint="eastAsia"/>
                <w:szCs w:val="21"/>
                <w:lang w:val="en-US" w:eastAsia="zh-CN"/>
              </w:rPr>
              <w:t>并针对</w:t>
            </w:r>
            <w:r>
              <w:rPr>
                <w:rFonts w:hint="eastAsia" w:ascii="宋体" w:hAnsi="宋体" w:cs="宋体"/>
                <w:kern w:val="0"/>
                <w:szCs w:val="21"/>
              </w:rPr>
              <w:t>环境和职业健康安全目标指标时，</w:t>
            </w:r>
            <w:r>
              <w:rPr>
                <w:rFonts w:hint="eastAsia" w:ascii="宋体" w:hAnsi="宋体" w:cs="宋体"/>
                <w:kern w:val="0"/>
                <w:szCs w:val="21"/>
                <w:lang w:val="en-US" w:eastAsia="zh-CN"/>
              </w:rPr>
              <w:t>确定了</w:t>
            </w:r>
            <w:r>
              <w:rPr>
                <w:rFonts w:hint="eastAsia" w:ascii="宋体" w:hAnsi="宋体" w:cs="宋体"/>
                <w:kern w:val="0"/>
                <w:szCs w:val="21"/>
              </w:rPr>
              <w:t>考核方法</w:t>
            </w:r>
            <w:r>
              <w:rPr>
                <w:rFonts w:hint="eastAsia" w:ascii="宋体" w:hAnsi="宋体" w:cs="宋体"/>
                <w:kern w:val="0"/>
                <w:szCs w:val="21"/>
                <w:lang w:val="en-US" w:eastAsia="zh-CN"/>
              </w:rPr>
              <w:t>和考核期限。</w:t>
            </w:r>
            <w:r>
              <w:rPr>
                <w:rFonts w:hint="eastAsia" w:ascii="宋体" w:hAnsi="宋体" w:cs="宋体"/>
                <w:szCs w:val="21"/>
              </w:rPr>
              <w:t>一般在管理评审之前对环境、职业健康安全目标及管理方案对其进行评审，并将完成情况以书面形式呈报管理者代表，以便提交管理评审。</w:t>
            </w:r>
          </w:p>
        </w:tc>
        <w:tc>
          <w:tcPr>
            <w:tcW w:w="1585" w:type="dxa"/>
          </w:tcPr>
          <w:p>
            <w:pPr>
              <w:keepLines w:val="0"/>
              <w:pageBreakBefore w:val="0"/>
              <w:widowControl w:val="0"/>
              <w:kinsoku/>
              <w:wordWrap/>
              <w:overflowPunct/>
              <w:topLinePunct w:val="0"/>
              <w:autoSpaceDE/>
              <w:autoSpaceDN/>
              <w:bidi w:val="0"/>
              <w:adjustRightInd/>
              <w:spacing w:line="240" w:lineRule="auto"/>
              <w:textAlignment w:val="auto"/>
              <w:rPr>
                <w:sz w:val="21"/>
                <w:szCs w:val="21"/>
              </w:rPr>
            </w:pPr>
            <w:r>
              <w:rPr>
                <w:rFonts w:hint="eastAsia"/>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122"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宋体" w:hAnsi="宋体" w:cs="宋体"/>
                <w:sz w:val="21"/>
                <w:szCs w:val="21"/>
              </w:rPr>
            </w:pPr>
            <w:r>
              <w:rPr>
                <w:rFonts w:hint="eastAsia" w:ascii="宋体" w:hAnsi="宋体" w:cs="宋体"/>
                <w:sz w:val="21"/>
                <w:szCs w:val="21"/>
              </w:rPr>
              <w:t>管理目标及其实现的策划</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宋体" w:hAnsi="宋体" w:cs="宋体"/>
                <w:sz w:val="21"/>
                <w:szCs w:val="21"/>
              </w:rPr>
            </w:pPr>
          </w:p>
        </w:tc>
        <w:tc>
          <w:tcPr>
            <w:tcW w:w="998"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sz w:val="21"/>
                <w:szCs w:val="21"/>
              </w:rPr>
            </w:pPr>
            <w:r>
              <w:rPr>
                <w:rFonts w:hint="eastAsia"/>
                <w:sz w:val="21"/>
                <w:szCs w:val="21"/>
              </w:rPr>
              <w:t>EO6.2</w:t>
            </w:r>
          </w:p>
        </w:tc>
        <w:tc>
          <w:tcPr>
            <w:tcW w:w="10004" w:type="dxa"/>
            <w:vAlign w:val="center"/>
          </w:tcPr>
          <w:p>
            <w:pPr>
              <w:keepLines w:val="0"/>
              <w:pageBreakBefore w:val="0"/>
              <w:widowControl w:val="0"/>
              <w:kinsoku/>
              <w:wordWrap/>
              <w:overflowPunct/>
              <w:topLinePunct w:val="0"/>
              <w:autoSpaceDE/>
              <w:autoSpaceDN/>
              <w:bidi w:val="0"/>
              <w:adjustRightInd/>
              <w:spacing w:line="240" w:lineRule="auto"/>
              <w:ind w:firstLine="420" w:firstLineChars="200"/>
              <w:textAlignment w:val="auto"/>
              <w:rPr>
                <w:rFonts w:ascii="宋体" w:hAnsi="宋体" w:cs="宋体"/>
                <w:sz w:val="21"/>
                <w:szCs w:val="21"/>
              </w:rPr>
            </w:pPr>
            <w:r>
              <w:rPr>
                <w:rFonts w:hint="eastAsia" w:ascii="宋体" w:hAnsi="宋体" w:cs="宋体"/>
                <w:sz w:val="21"/>
                <w:szCs w:val="21"/>
              </w:rPr>
              <w:t>公司对管理体系所需的相关职能、层次和过程设定管理目标。</w:t>
            </w:r>
          </w:p>
          <w:p>
            <w:pPr>
              <w:pStyle w:val="2"/>
              <w:numPr>
                <w:ilvl w:val="0"/>
                <w:numId w:val="0"/>
              </w:numPr>
              <w:ind w:firstLine="420" w:firstLineChars="200"/>
              <w:rPr>
                <w:rFonts w:hint="eastAsia" w:ascii="宋体" w:hAnsi="宋体" w:eastAsia="宋体" w:cs="宋体"/>
                <w:sz w:val="21"/>
                <w:szCs w:val="21"/>
                <w:lang w:eastAsia="zh-CN"/>
              </w:rPr>
            </w:pPr>
            <w:r>
              <w:rPr>
                <w:rFonts w:hint="eastAsia" w:ascii="宋体" w:hAnsi="宋体" w:cs="宋体"/>
                <w:sz w:val="21"/>
                <w:szCs w:val="21"/>
              </w:rPr>
              <w:t>公司环境环境目标</w:t>
            </w:r>
            <w:r>
              <w:rPr>
                <w:rFonts w:hint="eastAsia" w:ascii="宋体" w:hAnsi="宋体" w:cs="宋体"/>
                <w:sz w:val="21"/>
                <w:szCs w:val="21"/>
                <w:lang w:eastAsia="zh-CN"/>
              </w:rPr>
              <w:t>：</w:t>
            </w:r>
          </w:p>
          <w:p>
            <w:pPr>
              <w:pStyle w:val="2"/>
              <w:numPr>
                <w:ilvl w:val="0"/>
                <w:numId w:val="2"/>
              </w:numPr>
              <w:rPr>
                <w:rFonts w:hint="eastAsia" w:ascii="宋体" w:hAnsi="宋体" w:cs="宋体"/>
                <w:sz w:val="21"/>
                <w:szCs w:val="21"/>
              </w:rPr>
            </w:pPr>
            <w:r>
              <w:rPr>
                <w:rFonts w:hint="eastAsia" w:ascii="宋体" w:hAnsi="宋体" w:cs="宋体"/>
                <w:sz w:val="21"/>
                <w:szCs w:val="21"/>
              </w:rPr>
              <w:t>废水、废气、噪声达标排放</w:t>
            </w:r>
          </w:p>
          <w:p>
            <w:pPr>
              <w:pStyle w:val="2"/>
              <w:numPr>
                <w:ilvl w:val="0"/>
                <w:numId w:val="2"/>
              </w:numPr>
              <w:rPr>
                <w:rFonts w:hint="eastAsia" w:ascii="Times New Roman" w:hAnsi="Times New Roman" w:eastAsia="宋体" w:cs="Times New Roman"/>
                <w:lang w:val="en-US" w:eastAsia="zh-CN"/>
              </w:rPr>
            </w:pPr>
            <w:r>
              <w:rPr>
                <w:rFonts w:hint="eastAsia" w:ascii="宋体" w:hAnsi="宋体" w:cs="宋体"/>
                <w:sz w:val="21"/>
                <w:szCs w:val="21"/>
              </w:rPr>
              <w:t>单位能耗0.5%（水电能耗/万元产值）</w:t>
            </w:r>
            <w:r>
              <w:rPr>
                <w:rFonts w:hint="eastAsia" w:ascii="Times New Roman" w:hAnsi="Times New Roman" w:eastAsia="宋体" w:cs="Times New Roman"/>
                <w:lang w:val="en-US" w:eastAsia="zh-CN"/>
              </w:rPr>
              <w:t xml:space="preserve"> </w:t>
            </w:r>
            <w:r>
              <w:rPr>
                <w:rFonts w:hint="eastAsia" w:cs="Times New Roman"/>
                <w:lang w:val="en-US" w:eastAsia="zh-CN"/>
              </w:rPr>
              <w:t>；</w:t>
            </w:r>
          </w:p>
          <w:p>
            <w:pPr>
              <w:pStyle w:val="2"/>
              <w:numPr>
                <w:ilvl w:val="0"/>
                <w:numId w:val="0"/>
              </w:numPr>
              <w:ind w:firstLine="420"/>
              <w:rPr>
                <w:rFonts w:hint="eastAsia" w:cs="Times New Roman"/>
                <w:lang w:val="en-US" w:eastAsia="zh-CN"/>
              </w:rPr>
            </w:pPr>
            <w:r>
              <w:rPr>
                <w:rFonts w:hint="eastAsia" w:cs="Times New Roman"/>
                <w:lang w:val="en-US" w:eastAsia="zh-CN"/>
              </w:rPr>
              <w:t>公司职业健康安全目标：</w:t>
            </w:r>
          </w:p>
          <w:p>
            <w:pPr>
              <w:pStyle w:val="2"/>
              <w:numPr>
                <w:ilvl w:val="0"/>
                <w:numId w:val="0"/>
              </w:numPr>
              <w:ind w:firstLine="420" w:firstLineChars="200"/>
              <w:rPr>
                <w:rFonts w:hint="default" w:cs="Times New Roman"/>
                <w:lang w:val="en-US" w:eastAsia="zh-CN"/>
              </w:rPr>
            </w:pPr>
            <w:r>
              <w:rPr>
                <w:rFonts w:hint="eastAsia" w:cs="Times New Roman"/>
                <w:lang w:val="en-US" w:eastAsia="zh-CN"/>
              </w:rPr>
              <w:t>1、</w:t>
            </w:r>
            <w:r>
              <w:rPr>
                <w:rFonts w:hint="default" w:cs="Times New Roman"/>
                <w:lang w:val="en-US" w:eastAsia="zh-CN"/>
              </w:rPr>
              <w:t>无5000元以上安全事故发生</w:t>
            </w:r>
          </w:p>
          <w:p>
            <w:pPr>
              <w:pStyle w:val="2"/>
              <w:numPr>
                <w:ilvl w:val="0"/>
                <w:numId w:val="0"/>
              </w:numPr>
              <w:ind w:firstLine="420"/>
              <w:rPr>
                <w:rFonts w:hint="default" w:cs="Times New Roman"/>
                <w:lang w:val="en-US" w:eastAsia="zh-CN"/>
              </w:rPr>
            </w:pPr>
            <w:r>
              <w:rPr>
                <w:rFonts w:hint="default" w:cs="Times New Roman"/>
                <w:lang w:val="en-US" w:eastAsia="zh-CN"/>
              </w:rPr>
              <w:t>2</w:t>
            </w:r>
            <w:r>
              <w:rPr>
                <w:rFonts w:hint="eastAsia" w:cs="Times New Roman"/>
                <w:lang w:val="en-US" w:eastAsia="zh-CN"/>
              </w:rPr>
              <w:t>、</w:t>
            </w:r>
            <w:r>
              <w:rPr>
                <w:rFonts w:hint="default" w:cs="Times New Roman"/>
                <w:lang w:val="en-US" w:eastAsia="zh-CN"/>
              </w:rPr>
              <w:t>一般工伤事件小于0.5%（按人数/年）</w:t>
            </w:r>
          </w:p>
          <w:p>
            <w:pPr>
              <w:pStyle w:val="2"/>
              <w:numPr>
                <w:ilvl w:val="0"/>
                <w:numId w:val="0"/>
              </w:numPr>
              <w:ind w:firstLine="420"/>
              <w:rPr>
                <w:rFonts w:hint="default" w:cs="Times New Roman"/>
                <w:lang w:val="en-US" w:eastAsia="zh-CN"/>
              </w:rPr>
            </w:pPr>
            <w:r>
              <w:rPr>
                <w:rFonts w:hint="eastAsia" w:cs="Times New Roman"/>
                <w:lang w:val="en-US" w:eastAsia="zh-CN"/>
              </w:rPr>
              <w:t>3、</w:t>
            </w:r>
            <w:r>
              <w:rPr>
                <w:rFonts w:hint="default" w:cs="Times New Roman"/>
                <w:lang w:val="en-US" w:eastAsia="zh-CN"/>
              </w:rPr>
              <w:t>无职业病发生</w:t>
            </w:r>
          </w:p>
          <w:p>
            <w:pPr>
              <w:keepLines w:val="0"/>
              <w:pageBreakBefore w:val="0"/>
              <w:widowControl w:val="0"/>
              <w:kinsoku/>
              <w:wordWrap/>
              <w:overflowPunct/>
              <w:topLinePunct w:val="0"/>
              <w:autoSpaceDE/>
              <w:autoSpaceDN/>
              <w:bidi w:val="0"/>
              <w:adjustRightInd/>
              <w:spacing w:line="240" w:lineRule="auto"/>
              <w:ind w:firstLine="420" w:firstLineChars="200"/>
              <w:textAlignment w:val="auto"/>
              <w:rPr>
                <w:rFonts w:ascii="宋体" w:hAnsi="宋体" w:cs="宋体"/>
                <w:sz w:val="21"/>
                <w:szCs w:val="21"/>
              </w:rPr>
            </w:pPr>
            <w:r>
              <w:rPr>
                <w:rFonts w:hint="eastAsia" w:ascii="宋体" w:hAnsi="宋体" w:cs="宋体"/>
                <w:sz w:val="21"/>
                <w:szCs w:val="21"/>
              </w:rPr>
              <w:t>目标可测量，与公司管理方针一致。</w:t>
            </w:r>
          </w:p>
          <w:p>
            <w:pPr>
              <w:keepLines w:val="0"/>
              <w:pageBreakBefore w:val="0"/>
              <w:widowControl w:val="0"/>
              <w:kinsoku/>
              <w:wordWrap/>
              <w:overflowPunct/>
              <w:topLinePunct w:val="0"/>
              <w:autoSpaceDE/>
              <w:autoSpaceDN/>
              <w:bidi w:val="0"/>
              <w:adjustRightInd/>
              <w:spacing w:line="240" w:lineRule="auto"/>
              <w:ind w:firstLine="420" w:firstLineChars="200"/>
              <w:textAlignment w:val="auto"/>
              <w:rPr>
                <w:rFonts w:ascii="宋体" w:hAnsi="宋体" w:cs="宋体"/>
                <w:sz w:val="21"/>
                <w:szCs w:val="21"/>
              </w:rPr>
            </w:pPr>
            <w:r>
              <w:rPr>
                <w:rFonts w:hint="eastAsia" w:ascii="宋体" w:hAnsi="宋体" w:cs="宋体"/>
                <w:sz w:val="21"/>
                <w:szCs w:val="21"/>
              </w:rPr>
              <w:t>具体由</w:t>
            </w:r>
            <w:r>
              <w:rPr>
                <w:rFonts w:hint="eastAsia" w:ascii="宋体" w:hAnsi="宋体" w:cs="宋体"/>
                <w:sz w:val="21"/>
                <w:szCs w:val="21"/>
                <w:lang w:eastAsia="zh-CN"/>
              </w:rPr>
              <w:t>办公室</w:t>
            </w:r>
            <w:r>
              <w:rPr>
                <w:rFonts w:hint="eastAsia" w:ascii="宋体" w:hAnsi="宋体" w:cs="宋体"/>
                <w:sz w:val="21"/>
                <w:szCs w:val="21"/>
              </w:rPr>
              <w:t>按公司管理目标考核要求统计考核公司管理目标完成情况，提交管理评审会议。查到今年公司管理目标完成情况，各项目标均已完成，</w:t>
            </w:r>
            <w:r>
              <w:rPr>
                <w:rFonts w:hint="eastAsia"/>
                <w:szCs w:val="21"/>
              </w:rPr>
              <w:t>编</w:t>
            </w:r>
            <w:r>
              <w:rPr>
                <w:rFonts w:hint="eastAsia" w:eastAsia="宋体"/>
                <w:szCs w:val="21"/>
              </w:rPr>
              <w:t>制：</w:t>
            </w:r>
            <w:r>
              <w:rPr>
                <w:rFonts w:hint="eastAsia" w:eastAsia="宋体"/>
                <w:szCs w:val="21"/>
                <w:lang w:eastAsia="zh-CN"/>
              </w:rPr>
              <w:t>曹玉婷</w:t>
            </w:r>
            <w:r>
              <w:rPr>
                <w:rFonts w:hint="eastAsia" w:eastAsia="宋体"/>
                <w:szCs w:val="21"/>
              </w:rPr>
              <w:t xml:space="preserve"> 审批：</w:t>
            </w:r>
            <w:r>
              <w:rPr>
                <w:rFonts w:hint="eastAsia" w:eastAsia="宋体"/>
                <w:szCs w:val="21"/>
                <w:lang w:val="en-US" w:eastAsia="zh-CN"/>
              </w:rPr>
              <w:t>王永法  2021.1.15</w:t>
            </w:r>
            <w:r>
              <w:rPr>
                <w:rFonts w:hint="eastAsia" w:ascii="宋体" w:hAnsi="宋体" w:cs="宋体"/>
                <w:sz w:val="21"/>
                <w:szCs w:val="21"/>
              </w:rPr>
              <w:t>。</w:t>
            </w:r>
          </w:p>
          <w:p>
            <w:pPr>
              <w:keepLines w:val="0"/>
              <w:pageBreakBefore w:val="0"/>
              <w:widowControl w:val="0"/>
              <w:kinsoku/>
              <w:wordWrap/>
              <w:overflowPunct/>
              <w:topLinePunct w:val="0"/>
              <w:autoSpaceDE/>
              <w:autoSpaceDN/>
              <w:bidi w:val="0"/>
              <w:adjustRightInd/>
              <w:spacing w:line="240" w:lineRule="auto"/>
              <w:ind w:firstLine="420" w:firstLineChars="200"/>
              <w:textAlignment w:val="auto"/>
              <w:rPr>
                <w:rFonts w:ascii="宋体" w:hAnsi="宋体" w:cs="宋体"/>
                <w:sz w:val="21"/>
                <w:szCs w:val="21"/>
              </w:rPr>
            </w:pPr>
            <w:r>
              <w:rPr>
                <w:rFonts w:hint="eastAsia" w:ascii="宋体" w:hAnsi="宋体" w:cs="宋体"/>
                <w:sz w:val="21"/>
                <w:szCs w:val="21"/>
              </w:rPr>
              <w:t>针对重要环境因素、</w:t>
            </w:r>
            <w:r>
              <w:rPr>
                <w:rFonts w:hint="eastAsia" w:ascii="宋体" w:hAnsi="宋体" w:cs="宋体"/>
                <w:sz w:val="21"/>
                <w:szCs w:val="21"/>
                <w:lang w:val="en-US" w:eastAsia="zh-CN"/>
              </w:rPr>
              <w:t>重要危险源</w:t>
            </w:r>
            <w:r>
              <w:rPr>
                <w:rFonts w:hint="eastAsia" w:ascii="宋体" w:hAnsi="宋体" w:cs="宋体"/>
                <w:sz w:val="21"/>
                <w:szCs w:val="21"/>
              </w:rPr>
              <w:t>制订了管理方案并予以实施，基本有效，详见审核各部门审核记录。</w:t>
            </w:r>
          </w:p>
        </w:tc>
        <w:tc>
          <w:tcPr>
            <w:tcW w:w="1585" w:type="dxa"/>
          </w:tcPr>
          <w:p>
            <w:pPr>
              <w:keepLines w:val="0"/>
              <w:pageBreakBefore w:val="0"/>
              <w:widowControl w:val="0"/>
              <w:kinsoku/>
              <w:wordWrap/>
              <w:overflowPunct/>
              <w:topLinePunct w:val="0"/>
              <w:autoSpaceDE/>
              <w:autoSpaceDN/>
              <w:bidi w:val="0"/>
              <w:adjustRightInd/>
              <w:spacing w:line="240" w:lineRule="auto"/>
              <w:textAlignment w:val="auto"/>
              <w:rPr>
                <w:sz w:val="21"/>
                <w:szCs w:val="21"/>
              </w:rPr>
            </w:pPr>
            <w:r>
              <w:rPr>
                <w:rFonts w:hint="eastAsia"/>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2122"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宋体" w:hAnsi="宋体" w:cs="宋体"/>
                <w:sz w:val="21"/>
                <w:szCs w:val="21"/>
              </w:rPr>
            </w:pPr>
            <w:r>
              <w:rPr>
                <w:rFonts w:hint="eastAsia" w:ascii="宋体" w:hAnsi="宋体" w:cs="宋体"/>
                <w:sz w:val="21"/>
                <w:szCs w:val="21"/>
              </w:rPr>
              <w:t>资源、总则</w:t>
            </w:r>
          </w:p>
        </w:tc>
        <w:tc>
          <w:tcPr>
            <w:tcW w:w="998"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sz w:val="21"/>
                <w:szCs w:val="21"/>
              </w:rPr>
            </w:pPr>
            <w:r>
              <w:rPr>
                <w:rFonts w:hint="eastAsia"/>
                <w:sz w:val="21"/>
                <w:szCs w:val="21"/>
              </w:rPr>
              <w:t>E</w:t>
            </w:r>
            <w:r>
              <w:rPr>
                <w:sz w:val="21"/>
                <w:szCs w:val="21"/>
              </w:rPr>
              <w:t>O</w:t>
            </w:r>
            <w:r>
              <w:rPr>
                <w:rFonts w:hint="eastAsia"/>
                <w:sz w:val="21"/>
                <w:szCs w:val="21"/>
              </w:rPr>
              <w:t>7.1</w:t>
            </w:r>
          </w:p>
        </w:tc>
        <w:tc>
          <w:tcPr>
            <w:tcW w:w="10004" w:type="dxa"/>
            <w:vAlign w:val="center"/>
          </w:tcPr>
          <w:p>
            <w:pPr>
              <w:keepLines w:val="0"/>
              <w:pageBreakBefore w:val="0"/>
              <w:widowControl w:val="0"/>
              <w:kinsoku/>
              <w:wordWrap/>
              <w:overflowPunct/>
              <w:topLinePunct w:val="0"/>
              <w:autoSpaceDE/>
              <w:autoSpaceDN/>
              <w:bidi w:val="0"/>
              <w:adjustRightInd/>
              <w:spacing w:line="240" w:lineRule="auto"/>
              <w:ind w:firstLine="420" w:firstLineChars="200"/>
              <w:textAlignment w:val="auto"/>
              <w:rPr>
                <w:rFonts w:ascii="宋体" w:hAnsi="宋体" w:cs="宋体"/>
                <w:sz w:val="21"/>
                <w:szCs w:val="21"/>
              </w:rPr>
            </w:pPr>
            <w:r>
              <w:rPr>
                <w:rFonts w:hint="eastAsia" w:ascii="宋体" w:hAnsi="宋体" w:cs="宋体"/>
                <w:sz w:val="21"/>
                <w:szCs w:val="21"/>
                <w:highlight w:val="none"/>
              </w:rPr>
              <w:t>查公司配备了必要的人力资源，基础设施(</w:t>
            </w:r>
            <w:r>
              <w:rPr>
                <w:rFonts w:hint="eastAsia" w:ascii="宋体" w:hAnsi="宋体" w:cs="宋体"/>
                <w:sz w:val="21"/>
                <w:szCs w:val="21"/>
                <w:highlight w:val="none"/>
                <w:lang w:val="en-US" w:eastAsia="zh-CN"/>
              </w:rPr>
              <w:t>电线电缆产品生产</w:t>
            </w:r>
            <w:r>
              <w:rPr>
                <w:rFonts w:hint="eastAsia" w:ascii="宋体" w:hAnsi="宋体" w:cs="宋体"/>
                <w:sz w:val="21"/>
                <w:szCs w:val="21"/>
                <w:highlight w:val="none"/>
              </w:rPr>
              <w:t>相关设备、办公场所、办公用品等)</w:t>
            </w:r>
            <w:r>
              <w:rPr>
                <w:rFonts w:hint="eastAsia"/>
                <w:sz w:val="21"/>
                <w:szCs w:val="21"/>
                <w:highlight w:val="none"/>
                <w:lang w:eastAsia="zh-CN"/>
              </w:rPr>
              <w:t>，</w:t>
            </w:r>
            <w:r>
              <w:rPr>
                <w:rFonts w:hint="eastAsia" w:ascii="宋体" w:hAnsi="宋体" w:cs="宋体"/>
                <w:sz w:val="21"/>
                <w:szCs w:val="21"/>
                <w:highlight w:val="none"/>
              </w:rPr>
              <w:t>规范文件</w:t>
            </w:r>
            <w:r>
              <w:rPr>
                <w:rFonts w:hint="eastAsia" w:ascii="宋体" w:hAnsi="宋体" w:cs="宋体"/>
                <w:sz w:val="21"/>
                <w:szCs w:val="21"/>
                <w:highlight w:val="none"/>
                <w:lang w:eastAsia="zh-CN"/>
              </w:rPr>
              <w:t>，</w:t>
            </w:r>
            <w:r>
              <w:rPr>
                <w:rFonts w:hint="eastAsia" w:ascii="宋体" w:hAnsi="宋体" w:cs="宋体"/>
                <w:sz w:val="21"/>
                <w:szCs w:val="21"/>
                <w:highlight w:val="none"/>
              </w:rPr>
              <w:t>资金等</w:t>
            </w:r>
            <w:r>
              <w:rPr>
                <w:rFonts w:hint="eastAsia" w:ascii="宋体" w:hAnsi="宋体" w:cs="宋体"/>
                <w:sz w:val="21"/>
                <w:szCs w:val="21"/>
              </w:rPr>
              <w:t>必要的资源，能够持续满足顾客需求和管理体系改进的需要。</w:t>
            </w:r>
            <w:r>
              <w:rPr>
                <w:rFonts w:hint="eastAsia"/>
                <w:sz w:val="21"/>
                <w:szCs w:val="21"/>
              </w:rPr>
              <w:t>覆盖产品/服务/活动及体系运行所需的资源；从现场观察：过程运行环境较好（可详见相关条款审核记录）、据介绍：公司重视组织知识（可详见相关条款审核记录），以上能符合服务的需要，并能支持体系运行和改进的需要。</w:t>
            </w:r>
          </w:p>
        </w:tc>
        <w:tc>
          <w:tcPr>
            <w:tcW w:w="1585" w:type="dxa"/>
          </w:tcPr>
          <w:p>
            <w:pPr>
              <w:keepLines w:val="0"/>
              <w:pageBreakBefore w:val="0"/>
              <w:widowControl w:val="0"/>
              <w:kinsoku/>
              <w:wordWrap/>
              <w:overflowPunct/>
              <w:topLinePunct w:val="0"/>
              <w:autoSpaceDE/>
              <w:autoSpaceDN/>
              <w:bidi w:val="0"/>
              <w:adjustRightInd/>
              <w:spacing w:line="240" w:lineRule="auto"/>
              <w:textAlignment w:val="auto"/>
              <w:rPr>
                <w:sz w:val="21"/>
                <w:szCs w:val="21"/>
              </w:rPr>
            </w:pPr>
            <w:r>
              <w:rPr>
                <w:rFonts w:hint="eastAsia"/>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trPr>
        <w:tc>
          <w:tcPr>
            <w:tcW w:w="2122" w:type="dxa"/>
          </w:tcPr>
          <w:p>
            <w:pPr>
              <w:pStyle w:val="16"/>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sz w:val="21"/>
                <w:szCs w:val="21"/>
                <w:lang w:val="en-US" w:eastAsia="zh-CN"/>
              </w:rPr>
            </w:pPr>
            <w:r>
              <w:rPr>
                <w:rFonts w:hint="eastAsia"/>
                <w:sz w:val="21"/>
                <w:szCs w:val="21"/>
                <w:lang w:val="en-US" w:eastAsia="zh-CN"/>
              </w:rPr>
              <w:t>信息交流</w:t>
            </w:r>
          </w:p>
        </w:tc>
        <w:tc>
          <w:tcPr>
            <w:tcW w:w="998"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eastAsia="宋体"/>
                <w:sz w:val="21"/>
                <w:szCs w:val="21"/>
                <w:lang w:val="en-US" w:eastAsia="zh-CN"/>
              </w:rPr>
            </w:pPr>
            <w:r>
              <w:rPr>
                <w:rFonts w:hint="eastAsia"/>
                <w:sz w:val="21"/>
                <w:szCs w:val="21"/>
                <w:lang w:val="en-US" w:eastAsia="zh-CN"/>
              </w:rPr>
              <w:t>EO7.4</w:t>
            </w:r>
          </w:p>
        </w:tc>
        <w:tc>
          <w:tcPr>
            <w:tcW w:w="10004" w:type="dxa"/>
            <w:vAlign w:val="center"/>
          </w:tcPr>
          <w:p>
            <w:pPr>
              <w:spacing w:line="280" w:lineRule="exact"/>
              <w:ind w:firstLine="420" w:firstLineChars="200"/>
              <w:rPr>
                <w:rFonts w:hint="default" w:eastAsia="宋体"/>
                <w:szCs w:val="21"/>
                <w:lang w:val="en-US" w:eastAsia="zh-CN"/>
              </w:rPr>
            </w:pPr>
            <w:r>
              <w:rPr>
                <w:rFonts w:hint="eastAsia"/>
                <w:szCs w:val="21"/>
              </w:rPr>
              <w:t>公司编制并实施了《</w:t>
            </w:r>
            <w:r>
              <w:rPr>
                <w:rFonts w:hint="eastAsia"/>
                <w:szCs w:val="21"/>
                <w:lang w:val="en-US" w:eastAsia="zh-CN"/>
              </w:rPr>
              <w:t>协商和沟通及信息交流控制程序</w:t>
            </w:r>
            <w:r>
              <w:rPr>
                <w:rFonts w:hint="eastAsia"/>
                <w:szCs w:val="21"/>
              </w:rPr>
              <w:t>》，规定了职责、工作流程，包括内部沟通和外部沟通的方法和要求。《顾客满意度控制程序》</w:t>
            </w:r>
            <w:r>
              <w:rPr>
                <w:rFonts w:hint="eastAsia"/>
                <w:szCs w:val="21"/>
                <w:lang w:eastAsia="zh-CN"/>
              </w:rPr>
              <w:t>、《</w:t>
            </w:r>
            <w:r>
              <w:rPr>
                <w:rFonts w:hint="eastAsia"/>
                <w:szCs w:val="21"/>
                <w:lang w:val="en-US" w:eastAsia="zh-CN"/>
              </w:rPr>
              <w:t>供方选择评定和日常管理控制程序</w:t>
            </w:r>
            <w:r>
              <w:rPr>
                <w:rFonts w:hint="eastAsia"/>
                <w:szCs w:val="21"/>
                <w:lang w:eastAsia="zh-CN"/>
              </w:rPr>
              <w:t>》</w:t>
            </w:r>
            <w:r>
              <w:rPr>
                <w:rFonts w:hint="eastAsia"/>
                <w:szCs w:val="21"/>
                <w:lang w:val="en-US" w:eastAsia="zh-CN"/>
              </w:rPr>
              <w:t>等制度规定了与顾客、供方等信息交流进行了规定。</w:t>
            </w:r>
          </w:p>
          <w:p>
            <w:pPr>
              <w:spacing w:line="280" w:lineRule="exact"/>
              <w:ind w:firstLine="420" w:firstLineChars="200"/>
              <w:rPr>
                <w:szCs w:val="21"/>
              </w:rPr>
            </w:pPr>
            <w:r>
              <w:rPr>
                <w:rFonts w:hint="eastAsia"/>
                <w:szCs w:val="21"/>
                <w:lang w:val="en-US" w:eastAsia="zh-CN"/>
              </w:rPr>
              <w:t>信息交流的对象为</w:t>
            </w:r>
            <w:r>
              <w:rPr>
                <w:rFonts w:hint="eastAsia"/>
                <w:szCs w:val="21"/>
              </w:rPr>
              <w:t>内部所有员工及外部相关的政府机构、社会团体、客户及供方有关事务信息的交流（包括投诉）。内外部沟通具体体现在公司内部工作会议、安全例会、员工的培训、布告栏等，与外部的沟通具体体现在合同签订、满意度调查。</w:t>
            </w:r>
            <w:r>
              <w:rPr>
                <w:rFonts w:hint="eastAsia"/>
                <w:szCs w:val="21"/>
                <w:lang w:val="en-US" w:eastAsia="zh-CN"/>
              </w:rPr>
              <w:t>以及</w:t>
            </w:r>
            <w:r>
              <w:rPr>
                <w:rFonts w:hint="eastAsia"/>
                <w:szCs w:val="21"/>
              </w:rPr>
              <w:t>与环保、安监部门及顾客和供方等方面</w:t>
            </w:r>
            <w:r>
              <w:rPr>
                <w:rFonts w:hint="eastAsia"/>
                <w:szCs w:val="21"/>
                <w:lang w:val="en-US" w:eastAsia="zh-CN"/>
              </w:rPr>
              <w:t>信息交流</w:t>
            </w:r>
            <w:r>
              <w:rPr>
                <w:rFonts w:hint="eastAsia"/>
                <w:szCs w:val="21"/>
              </w:rPr>
              <w:t>。</w:t>
            </w:r>
          </w:p>
          <w:p>
            <w:pPr>
              <w:spacing w:line="280" w:lineRule="exact"/>
              <w:ind w:firstLine="420" w:firstLineChars="200"/>
              <w:rPr>
                <w:rFonts w:hint="eastAsia" w:eastAsia="宋体"/>
                <w:szCs w:val="21"/>
              </w:rPr>
            </w:pPr>
            <w:r>
              <w:rPr>
                <w:rFonts w:hint="eastAsia"/>
                <w:szCs w:val="21"/>
              </w:rPr>
              <w:t>现场查阅</w:t>
            </w:r>
            <w:r>
              <w:rPr>
                <w:rFonts w:hint="eastAsia" w:eastAsia="宋体"/>
                <w:szCs w:val="21"/>
              </w:rPr>
              <w:t>内部交流：方针、目标完成情况、内审和管理评审报告、不符合信息等。</w:t>
            </w:r>
          </w:p>
          <w:p>
            <w:pPr>
              <w:spacing w:line="280" w:lineRule="exact"/>
              <w:ind w:firstLine="420" w:firstLineChars="200"/>
              <w:rPr>
                <w:rFonts w:hint="default"/>
                <w:lang w:val="en-US" w:eastAsia="zh-CN"/>
              </w:rPr>
            </w:pPr>
            <w:r>
              <w:rPr>
                <w:rFonts w:hint="eastAsia" w:eastAsia="宋体"/>
                <w:szCs w:val="21"/>
              </w:rPr>
              <w:t>外部交流：通过发放《</w:t>
            </w:r>
            <w:r>
              <w:rPr>
                <w:rFonts w:hint="eastAsia" w:eastAsia="宋体"/>
                <w:szCs w:val="21"/>
                <w:lang w:val="en-US" w:eastAsia="zh-CN"/>
              </w:rPr>
              <w:t>相关方环境及职业健康安全告知书</w:t>
            </w:r>
            <w:r>
              <w:rPr>
                <w:rFonts w:hint="eastAsia" w:eastAsia="宋体"/>
                <w:szCs w:val="21"/>
              </w:rPr>
              <w:t>》与相关方就相关环境、职业健康安全信息进行相互沟通</w:t>
            </w:r>
            <w:r>
              <w:rPr>
                <w:rFonts w:hint="eastAsia" w:eastAsia="宋体"/>
                <w:szCs w:val="21"/>
                <w:lang w:val="en-US" w:eastAsia="zh-CN"/>
              </w:rPr>
              <w:t>。</w:t>
            </w:r>
          </w:p>
          <w:p>
            <w:pPr>
              <w:keepLines w:val="0"/>
              <w:pageBreakBefore w:val="0"/>
              <w:widowControl w:val="0"/>
              <w:kinsoku/>
              <w:wordWrap/>
              <w:overflowPunct/>
              <w:topLinePunct w:val="0"/>
              <w:autoSpaceDE/>
              <w:autoSpaceDN/>
              <w:bidi w:val="0"/>
              <w:adjustRightInd/>
              <w:spacing w:line="240" w:lineRule="auto"/>
              <w:ind w:firstLine="420" w:firstLineChars="200"/>
              <w:textAlignment w:val="auto"/>
              <w:rPr>
                <w:rFonts w:hint="eastAsia"/>
                <w:sz w:val="21"/>
                <w:szCs w:val="21"/>
              </w:rPr>
            </w:pPr>
            <w:r>
              <w:rPr>
                <w:rFonts w:hint="eastAsia"/>
                <w:szCs w:val="21"/>
              </w:rPr>
              <w:t>审核周期内未发生因沟通不善造成的的问题。</w:t>
            </w:r>
          </w:p>
        </w:tc>
        <w:tc>
          <w:tcPr>
            <w:tcW w:w="1585" w:type="dxa"/>
          </w:tcPr>
          <w:p>
            <w:pPr>
              <w:keepLines w:val="0"/>
              <w:pageBreakBefore w:val="0"/>
              <w:widowControl w:val="0"/>
              <w:kinsoku/>
              <w:wordWrap/>
              <w:overflowPunct/>
              <w:topLinePunct w:val="0"/>
              <w:autoSpaceDE/>
              <w:autoSpaceDN/>
              <w:bidi w:val="0"/>
              <w:adjustRightInd/>
              <w:spacing w:line="240" w:lineRule="auto"/>
              <w:textAlignment w:val="auto"/>
              <w:rPr>
                <w:rFonts w:hint="default" w:eastAsia="宋体"/>
                <w:sz w:val="21"/>
                <w:szCs w:val="21"/>
                <w:lang w:val="en-US" w:eastAsia="zh-CN"/>
              </w:rPr>
            </w:pPr>
            <w:r>
              <w:rPr>
                <w:rFonts w:hint="eastAsia"/>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trPr>
        <w:tc>
          <w:tcPr>
            <w:tcW w:w="2122"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宋体" w:hAnsi="宋体" w:cs="宋体"/>
                <w:color w:val="000000"/>
                <w:kern w:val="0"/>
                <w:sz w:val="21"/>
                <w:szCs w:val="21"/>
              </w:rPr>
            </w:pPr>
            <w:r>
              <w:rPr>
                <w:rFonts w:hint="eastAsia" w:ascii="宋体" w:hAnsi="宋体" w:cs="宋体"/>
                <w:color w:val="000000"/>
                <w:kern w:val="0"/>
                <w:sz w:val="21"/>
                <w:szCs w:val="21"/>
              </w:rPr>
              <w:t>内部审核</w:t>
            </w:r>
          </w:p>
        </w:tc>
        <w:tc>
          <w:tcPr>
            <w:tcW w:w="998"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宋体" w:hAnsi="宋体" w:cs="宋体"/>
                <w:color w:val="000000"/>
                <w:kern w:val="0"/>
                <w:sz w:val="21"/>
                <w:szCs w:val="21"/>
              </w:rPr>
            </w:pPr>
            <w:r>
              <w:rPr>
                <w:rFonts w:hint="eastAsia"/>
                <w:sz w:val="21"/>
                <w:szCs w:val="21"/>
              </w:rPr>
              <w:t>EO9.</w:t>
            </w:r>
            <w:r>
              <w:rPr>
                <w:sz w:val="21"/>
                <w:szCs w:val="21"/>
              </w:rPr>
              <w:t>2</w:t>
            </w:r>
          </w:p>
        </w:tc>
        <w:tc>
          <w:tcPr>
            <w:tcW w:w="10004" w:type="dxa"/>
            <w:vAlign w:val="center"/>
          </w:tcPr>
          <w:p>
            <w:pPr>
              <w:keepLines w:val="0"/>
              <w:pageBreakBefore w:val="0"/>
              <w:widowControl w:val="0"/>
              <w:kinsoku/>
              <w:wordWrap/>
              <w:overflowPunct/>
              <w:topLinePunct w:val="0"/>
              <w:autoSpaceDE/>
              <w:autoSpaceDN/>
              <w:bidi w:val="0"/>
              <w:adjustRightInd/>
              <w:spacing w:line="240" w:lineRule="auto"/>
              <w:ind w:firstLine="420" w:firstLineChars="200"/>
              <w:textAlignment w:val="auto"/>
              <w:rPr>
                <w:sz w:val="21"/>
                <w:szCs w:val="21"/>
              </w:rPr>
            </w:pPr>
            <w:r>
              <w:rPr>
                <w:rFonts w:hint="eastAsia"/>
                <w:sz w:val="21"/>
                <w:szCs w:val="21"/>
              </w:rPr>
              <w:t>编制了《内部审核程序》，由管代定期组织每年进行一次内审，间隔不超过12月份，由经过培训的内审员参加。</w:t>
            </w:r>
          </w:p>
          <w:p>
            <w:pPr>
              <w:keepLines w:val="0"/>
              <w:pageBreakBefore w:val="0"/>
              <w:widowControl w:val="0"/>
              <w:kinsoku/>
              <w:wordWrap/>
              <w:overflowPunct/>
              <w:topLinePunct w:val="0"/>
              <w:autoSpaceDE/>
              <w:autoSpaceDN/>
              <w:bidi w:val="0"/>
              <w:adjustRightInd/>
              <w:spacing w:line="240" w:lineRule="auto"/>
              <w:ind w:firstLine="420" w:firstLineChars="200"/>
              <w:textAlignment w:val="auto"/>
              <w:rPr>
                <w:sz w:val="21"/>
                <w:szCs w:val="21"/>
              </w:rPr>
            </w:pPr>
            <w:r>
              <w:rPr>
                <w:rFonts w:hint="eastAsia"/>
                <w:sz w:val="21"/>
                <w:szCs w:val="21"/>
              </w:rPr>
              <w:t>依据GB/T14001-2016、GB/T</w:t>
            </w:r>
            <w:r>
              <w:rPr>
                <w:sz w:val="21"/>
                <w:szCs w:val="21"/>
              </w:rPr>
              <w:t>45</w:t>
            </w:r>
            <w:r>
              <w:rPr>
                <w:rFonts w:hint="eastAsia"/>
                <w:sz w:val="21"/>
                <w:szCs w:val="21"/>
              </w:rPr>
              <w:t>001-2020标准、体系文件、相关法律法规等。</w:t>
            </w:r>
          </w:p>
          <w:p>
            <w:pPr>
              <w:keepLines w:val="0"/>
              <w:pageBreakBefore w:val="0"/>
              <w:widowControl w:val="0"/>
              <w:kinsoku/>
              <w:wordWrap/>
              <w:overflowPunct/>
              <w:topLinePunct w:val="0"/>
              <w:autoSpaceDE/>
              <w:autoSpaceDN/>
              <w:bidi w:val="0"/>
              <w:adjustRightInd/>
              <w:spacing w:line="240" w:lineRule="auto"/>
              <w:ind w:firstLine="420" w:firstLineChars="200"/>
              <w:textAlignment w:val="auto"/>
              <w:rPr>
                <w:sz w:val="21"/>
                <w:szCs w:val="21"/>
              </w:rPr>
            </w:pPr>
            <w:r>
              <w:rPr>
                <w:rFonts w:hint="eastAsia"/>
                <w:sz w:val="21"/>
                <w:szCs w:val="21"/>
              </w:rPr>
              <w:t>提供</w:t>
            </w:r>
            <w:r>
              <w:rPr>
                <w:sz w:val="21"/>
                <w:szCs w:val="21"/>
              </w:rPr>
              <w:t>2021</w:t>
            </w:r>
            <w:r>
              <w:rPr>
                <w:rFonts w:hint="eastAsia"/>
                <w:sz w:val="21"/>
                <w:szCs w:val="21"/>
              </w:rPr>
              <w:t>年度《内部审核计划》</w:t>
            </w:r>
            <w:r>
              <w:rPr>
                <w:rFonts w:hint="eastAsia" w:ascii="宋体" w:hAnsi="宋体" w:cs="宋体"/>
                <w:sz w:val="21"/>
                <w:szCs w:val="21"/>
              </w:rPr>
              <w:t>，</w:t>
            </w:r>
            <w:r>
              <w:rPr>
                <w:rFonts w:hint="eastAsia"/>
                <w:sz w:val="21"/>
                <w:szCs w:val="21"/>
              </w:rPr>
              <w:t>内审安排1次。明确审核目的、范围、依据、日期，组长：</w:t>
            </w:r>
            <w:r>
              <w:rPr>
                <w:rFonts w:hint="eastAsia"/>
                <w:sz w:val="21"/>
                <w:szCs w:val="21"/>
                <w:lang w:val="en-US" w:eastAsia="zh-CN"/>
              </w:rPr>
              <w:t>马锐</w:t>
            </w:r>
            <w:r>
              <w:rPr>
                <w:rFonts w:hint="eastAsia"/>
                <w:sz w:val="21"/>
                <w:szCs w:val="21"/>
              </w:rPr>
              <w:t>，组员：</w:t>
            </w:r>
            <w:r>
              <w:rPr>
                <w:rFonts w:hint="eastAsia"/>
                <w:sz w:val="21"/>
                <w:szCs w:val="21"/>
                <w:lang w:val="en-US" w:eastAsia="zh-CN"/>
              </w:rPr>
              <w:t>陈跃明、周卜勇</w:t>
            </w:r>
            <w:r>
              <w:rPr>
                <w:rFonts w:hint="eastAsia"/>
                <w:sz w:val="21"/>
                <w:szCs w:val="21"/>
              </w:rPr>
              <w:t>，有培训记录和总经理的任命书；编制：</w:t>
            </w:r>
            <w:r>
              <w:rPr>
                <w:rFonts w:hint="eastAsia"/>
                <w:sz w:val="21"/>
                <w:szCs w:val="21"/>
                <w:lang w:val="en-US" w:eastAsia="zh-CN"/>
              </w:rPr>
              <w:t>马锐</w:t>
            </w:r>
            <w:r>
              <w:rPr>
                <w:rFonts w:hint="eastAsia"/>
                <w:sz w:val="21"/>
                <w:szCs w:val="21"/>
              </w:rPr>
              <w:t>，审批：</w:t>
            </w:r>
            <w:r>
              <w:rPr>
                <w:rFonts w:hint="eastAsia"/>
                <w:sz w:val="21"/>
                <w:szCs w:val="21"/>
                <w:lang w:val="en-US" w:eastAsia="zh-CN"/>
              </w:rPr>
              <w:t>王永法</w:t>
            </w:r>
            <w:r>
              <w:rPr>
                <w:rFonts w:hint="eastAsia"/>
                <w:sz w:val="21"/>
                <w:szCs w:val="21"/>
              </w:rPr>
              <w:t>，日期：</w:t>
            </w:r>
            <w:r>
              <w:rPr>
                <w:sz w:val="21"/>
                <w:szCs w:val="21"/>
              </w:rPr>
              <w:t>2021</w:t>
            </w:r>
            <w:r>
              <w:rPr>
                <w:rFonts w:hint="eastAsia"/>
                <w:sz w:val="21"/>
                <w:szCs w:val="21"/>
              </w:rPr>
              <w:t>.</w:t>
            </w:r>
            <w:r>
              <w:rPr>
                <w:rFonts w:hint="eastAsia"/>
                <w:sz w:val="21"/>
                <w:szCs w:val="21"/>
                <w:lang w:val="en-US" w:eastAsia="zh-CN"/>
              </w:rPr>
              <w:t>6.28</w:t>
            </w:r>
            <w:r>
              <w:rPr>
                <w:rFonts w:hint="eastAsia"/>
                <w:sz w:val="21"/>
                <w:szCs w:val="21"/>
              </w:rPr>
              <w:t>。</w:t>
            </w:r>
          </w:p>
          <w:p>
            <w:pPr>
              <w:keepLines w:val="0"/>
              <w:pageBreakBefore w:val="0"/>
              <w:widowControl w:val="0"/>
              <w:kinsoku/>
              <w:wordWrap/>
              <w:overflowPunct/>
              <w:topLinePunct w:val="0"/>
              <w:autoSpaceDE/>
              <w:autoSpaceDN/>
              <w:bidi w:val="0"/>
              <w:adjustRightInd/>
              <w:spacing w:line="240" w:lineRule="auto"/>
              <w:ind w:firstLine="420" w:firstLineChars="200"/>
              <w:textAlignment w:val="auto"/>
              <w:rPr>
                <w:sz w:val="21"/>
                <w:szCs w:val="21"/>
              </w:rPr>
            </w:pPr>
            <w:r>
              <w:rPr>
                <w:rFonts w:hint="eastAsia"/>
                <w:sz w:val="21"/>
                <w:szCs w:val="21"/>
              </w:rPr>
              <w:t>计划内容涉及各部门，条款覆盖整个体系，时间安排合理。同时考虑到互查的公正性。实际审核：</w:t>
            </w:r>
            <w:r>
              <w:rPr>
                <w:rFonts w:hint="eastAsia" w:ascii="宋体" w:hAnsi="宋体" w:cs="宋体"/>
                <w:sz w:val="21"/>
                <w:szCs w:val="21"/>
              </w:rPr>
              <w:t>202</w:t>
            </w:r>
            <w:r>
              <w:rPr>
                <w:rFonts w:ascii="宋体" w:hAnsi="宋体" w:cs="宋体"/>
                <w:sz w:val="21"/>
                <w:szCs w:val="21"/>
              </w:rPr>
              <w:t>1</w:t>
            </w:r>
            <w:r>
              <w:rPr>
                <w:rFonts w:hint="eastAsia" w:ascii="宋体" w:hAnsi="宋体" w:cs="宋体"/>
                <w:sz w:val="21"/>
                <w:szCs w:val="21"/>
              </w:rPr>
              <w:t>年</w:t>
            </w:r>
            <w:r>
              <w:rPr>
                <w:rFonts w:hint="eastAsia" w:ascii="宋体" w:hAnsi="宋体" w:cs="宋体"/>
                <w:sz w:val="21"/>
                <w:szCs w:val="21"/>
                <w:lang w:val="en-US" w:eastAsia="zh-CN"/>
              </w:rPr>
              <w:t>7</w:t>
            </w:r>
            <w:r>
              <w:rPr>
                <w:rFonts w:hint="eastAsia" w:ascii="宋体" w:hAnsi="宋体" w:cs="宋体"/>
                <w:sz w:val="21"/>
                <w:szCs w:val="21"/>
              </w:rPr>
              <w:t>月</w:t>
            </w:r>
            <w:r>
              <w:rPr>
                <w:rFonts w:hint="eastAsia" w:ascii="宋体" w:hAnsi="宋体" w:cs="宋体"/>
                <w:sz w:val="21"/>
                <w:szCs w:val="21"/>
                <w:lang w:val="en-US" w:eastAsia="zh-CN"/>
              </w:rPr>
              <w:t>1-2日</w:t>
            </w:r>
            <w:r>
              <w:rPr>
                <w:rFonts w:hint="eastAsia"/>
                <w:sz w:val="21"/>
                <w:szCs w:val="21"/>
              </w:rPr>
              <w:t>。</w:t>
            </w:r>
          </w:p>
          <w:p>
            <w:pPr>
              <w:keepLines w:val="0"/>
              <w:pageBreakBefore w:val="0"/>
              <w:widowControl w:val="0"/>
              <w:kinsoku/>
              <w:wordWrap/>
              <w:overflowPunct/>
              <w:topLinePunct w:val="0"/>
              <w:autoSpaceDE/>
              <w:autoSpaceDN/>
              <w:bidi w:val="0"/>
              <w:adjustRightInd/>
              <w:spacing w:line="240" w:lineRule="auto"/>
              <w:ind w:firstLine="420" w:firstLineChars="200"/>
              <w:textAlignment w:val="auto"/>
              <w:rPr>
                <w:sz w:val="21"/>
                <w:szCs w:val="21"/>
              </w:rPr>
            </w:pPr>
            <w:r>
              <w:rPr>
                <w:rFonts w:hint="eastAsia"/>
                <w:sz w:val="21"/>
                <w:szCs w:val="21"/>
              </w:rPr>
              <w:t>查《内审检查表》，有</w:t>
            </w:r>
            <w:r>
              <w:rPr>
                <w:rFonts w:hint="eastAsia" w:ascii="宋体" w:hAnsi="宋体" w:cs="宋体"/>
                <w:sz w:val="21"/>
                <w:szCs w:val="21"/>
              </w:rPr>
              <w:t>管理层、</w:t>
            </w:r>
            <w:r>
              <w:rPr>
                <w:rFonts w:hint="eastAsia" w:ascii="宋体" w:hAnsi="宋体" w:cs="宋体"/>
                <w:sz w:val="21"/>
                <w:szCs w:val="21"/>
                <w:lang w:val="en-US" w:eastAsia="zh-CN"/>
              </w:rPr>
              <w:t>行政部、技质部、销售部、供应部、生产部、财务部</w:t>
            </w:r>
            <w:r>
              <w:rPr>
                <w:rFonts w:hint="eastAsia"/>
                <w:sz w:val="21"/>
                <w:szCs w:val="21"/>
              </w:rPr>
              <w:t>等部门的审核记录，条款与策划一致，记录真实、完整。包括EO体系所有条款，没有遗漏。</w:t>
            </w:r>
          </w:p>
          <w:p>
            <w:pPr>
              <w:keepLines w:val="0"/>
              <w:pageBreakBefore w:val="0"/>
              <w:widowControl w:val="0"/>
              <w:kinsoku/>
              <w:wordWrap/>
              <w:overflowPunct/>
              <w:topLinePunct w:val="0"/>
              <w:autoSpaceDE/>
              <w:autoSpaceDN/>
              <w:bidi w:val="0"/>
              <w:adjustRightInd/>
              <w:spacing w:line="240" w:lineRule="auto"/>
              <w:ind w:firstLine="420" w:firstLineChars="200"/>
              <w:textAlignment w:val="auto"/>
              <w:rPr>
                <w:sz w:val="21"/>
                <w:szCs w:val="21"/>
              </w:rPr>
            </w:pPr>
            <w:r>
              <w:rPr>
                <w:rFonts w:hint="eastAsia"/>
                <w:sz w:val="21"/>
                <w:szCs w:val="21"/>
              </w:rPr>
              <w:t>查《不合格报告》本次发现不符合</w:t>
            </w:r>
            <w:r>
              <w:rPr>
                <w:rFonts w:hint="eastAsia"/>
                <w:sz w:val="21"/>
                <w:szCs w:val="21"/>
                <w:lang w:val="en-US" w:eastAsia="zh-CN"/>
              </w:rPr>
              <w:t>3</w:t>
            </w:r>
            <w:r>
              <w:rPr>
                <w:rFonts w:hint="eastAsia"/>
                <w:sz w:val="21"/>
                <w:szCs w:val="21"/>
              </w:rPr>
              <w:t>个，提供《内部审核报告》，结论：公司建立的环境/职业健康安全管理体系基本符合GB/T14001-2016、GB/T</w:t>
            </w:r>
            <w:r>
              <w:rPr>
                <w:sz w:val="21"/>
                <w:szCs w:val="21"/>
              </w:rPr>
              <w:t>45</w:t>
            </w:r>
            <w:r>
              <w:rPr>
                <w:rFonts w:hint="eastAsia"/>
                <w:sz w:val="21"/>
                <w:szCs w:val="21"/>
              </w:rPr>
              <w:t>001-2020标准要求。管理体系的运行是适宜的、充分的、有效的。</w:t>
            </w:r>
          </w:p>
        </w:tc>
        <w:tc>
          <w:tcPr>
            <w:tcW w:w="1585" w:type="dxa"/>
          </w:tcPr>
          <w:p>
            <w:pPr>
              <w:keepLines w:val="0"/>
              <w:pageBreakBefore w:val="0"/>
              <w:widowControl w:val="0"/>
              <w:kinsoku/>
              <w:wordWrap/>
              <w:overflowPunct/>
              <w:topLinePunct w:val="0"/>
              <w:autoSpaceDE/>
              <w:autoSpaceDN/>
              <w:bidi w:val="0"/>
              <w:adjustRightInd/>
              <w:spacing w:line="240" w:lineRule="auto"/>
              <w:textAlignment w:val="auto"/>
              <w:rPr>
                <w:sz w:val="21"/>
                <w:szCs w:val="21"/>
              </w:rPr>
            </w:pPr>
            <w:r>
              <w:rPr>
                <w:rFonts w:hint="eastAsia"/>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2122"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宋体" w:hAnsi="宋体" w:cs="宋体"/>
                <w:sz w:val="21"/>
                <w:szCs w:val="21"/>
              </w:rPr>
            </w:pPr>
            <w:r>
              <w:rPr>
                <w:rFonts w:hint="eastAsia" w:ascii="宋体" w:hAnsi="宋体" w:cs="宋体"/>
                <w:sz w:val="21"/>
                <w:szCs w:val="21"/>
              </w:rPr>
              <w:t>管理评审</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宋体" w:hAnsi="宋体" w:cs="宋体"/>
                <w:sz w:val="21"/>
                <w:szCs w:val="21"/>
              </w:rPr>
            </w:pPr>
          </w:p>
        </w:tc>
        <w:tc>
          <w:tcPr>
            <w:tcW w:w="998"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sz w:val="21"/>
                <w:szCs w:val="21"/>
              </w:rPr>
            </w:pPr>
            <w:r>
              <w:rPr>
                <w:rFonts w:hint="eastAsia"/>
                <w:sz w:val="21"/>
                <w:szCs w:val="21"/>
              </w:rPr>
              <w:t>EO9.3</w:t>
            </w:r>
          </w:p>
        </w:tc>
        <w:tc>
          <w:tcPr>
            <w:tcW w:w="10004" w:type="dxa"/>
            <w:vAlign w:val="center"/>
          </w:tcPr>
          <w:p>
            <w:pPr>
              <w:keepLines w:val="0"/>
              <w:pageBreakBefore w:val="0"/>
              <w:widowControl w:val="0"/>
              <w:kinsoku/>
              <w:wordWrap/>
              <w:overflowPunct/>
              <w:topLinePunct w:val="0"/>
              <w:autoSpaceDE/>
              <w:autoSpaceDN/>
              <w:bidi w:val="0"/>
              <w:adjustRightInd/>
              <w:spacing w:line="240" w:lineRule="auto"/>
              <w:ind w:firstLine="420" w:firstLineChars="200"/>
              <w:textAlignment w:val="auto"/>
              <w:rPr>
                <w:rFonts w:hint="eastAsia"/>
                <w:sz w:val="21"/>
                <w:szCs w:val="21"/>
              </w:rPr>
            </w:pPr>
            <w:r>
              <w:rPr>
                <w:rFonts w:hint="eastAsia"/>
                <w:sz w:val="21"/>
                <w:szCs w:val="21"/>
              </w:rPr>
              <w:t>编制了管理评审控制程序，由总经理负责，提供了最近一次管理评审：</w:t>
            </w:r>
          </w:p>
          <w:p>
            <w:pPr>
              <w:keepLines w:val="0"/>
              <w:pageBreakBefore w:val="0"/>
              <w:widowControl w:val="0"/>
              <w:kinsoku/>
              <w:wordWrap/>
              <w:overflowPunct/>
              <w:topLinePunct w:val="0"/>
              <w:autoSpaceDE/>
              <w:autoSpaceDN/>
              <w:bidi w:val="0"/>
              <w:adjustRightInd/>
              <w:spacing w:line="240" w:lineRule="auto"/>
              <w:ind w:firstLine="420" w:firstLineChars="200"/>
              <w:textAlignment w:val="auto"/>
              <w:rPr>
                <w:rFonts w:hint="eastAsia"/>
                <w:sz w:val="21"/>
                <w:szCs w:val="21"/>
              </w:rPr>
            </w:pPr>
            <w:r>
              <w:rPr>
                <w:rFonts w:hint="eastAsia"/>
                <w:sz w:val="21"/>
                <w:szCs w:val="21"/>
              </w:rPr>
              <w:t>1.管理评审计划</w:t>
            </w:r>
          </w:p>
          <w:p>
            <w:pPr>
              <w:keepLines w:val="0"/>
              <w:pageBreakBefore w:val="0"/>
              <w:widowControl w:val="0"/>
              <w:kinsoku/>
              <w:wordWrap/>
              <w:overflowPunct/>
              <w:topLinePunct w:val="0"/>
              <w:autoSpaceDE/>
              <w:autoSpaceDN/>
              <w:bidi w:val="0"/>
              <w:adjustRightInd/>
              <w:spacing w:line="240" w:lineRule="auto"/>
              <w:ind w:firstLine="420" w:firstLineChars="200"/>
              <w:textAlignment w:val="auto"/>
              <w:rPr>
                <w:rFonts w:hint="eastAsia"/>
                <w:sz w:val="21"/>
                <w:szCs w:val="21"/>
              </w:rPr>
            </w:pPr>
            <w:r>
              <w:rPr>
                <w:rFonts w:hint="eastAsia"/>
                <w:sz w:val="21"/>
                <w:szCs w:val="21"/>
              </w:rPr>
              <w:t>评审时间：2021年</w:t>
            </w:r>
            <w:r>
              <w:rPr>
                <w:rFonts w:hint="eastAsia"/>
                <w:sz w:val="21"/>
                <w:szCs w:val="21"/>
                <w:lang w:val="en-US" w:eastAsia="zh-CN"/>
              </w:rPr>
              <w:t>7</w:t>
            </w:r>
            <w:r>
              <w:rPr>
                <w:rFonts w:hint="eastAsia"/>
                <w:sz w:val="21"/>
                <w:szCs w:val="21"/>
              </w:rPr>
              <w:t>月</w:t>
            </w:r>
            <w:r>
              <w:rPr>
                <w:rFonts w:hint="eastAsia"/>
                <w:sz w:val="21"/>
                <w:szCs w:val="21"/>
                <w:lang w:val="en-US" w:eastAsia="zh-CN"/>
              </w:rPr>
              <w:t>28</w:t>
            </w:r>
            <w:r>
              <w:rPr>
                <w:rFonts w:hint="eastAsia"/>
                <w:sz w:val="21"/>
                <w:szCs w:val="21"/>
              </w:rPr>
              <w:t>日，评审方式：会议评审，计划编制</w:t>
            </w:r>
            <w:r>
              <w:rPr>
                <w:rFonts w:hint="eastAsia"/>
                <w:sz w:val="21"/>
                <w:szCs w:val="21"/>
                <w:lang w:eastAsia="zh-CN"/>
              </w:rPr>
              <w:t>：</w:t>
            </w:r>
            <w:r>
              <w:rPr>
                <w:rFonts w:hint="eastAsia"/>
                <w:sz w:val="21"/>
                <w:szCs w:val="21"/>
                <w:lang w:val="en-US" w:eastAsia="zh-CN"/>
              </w:rPr>
              <w:t>马锐</w:t>
            </w:r>
            <w:r>
              <w:rPr>
                <w:rFonts w:hint="eastAsia"/>
                <w:sz w:val="21"/>
                <w:szCs w:val="21"/>
              </w:rPr>
              <w:t>，审批：</w:t>
            </w:r>
            <w:r>
              <w:rPr>
                <w:rFonts w:hint="eastAsia"/>
                <w:sz w:val="21"/>
                <w:szCs w:val="21"/>
                <w:lang w:val="en-US" w:eastAsia="zh-CN"/>
              </w:rPr>
              <w:t>王永法</w:t>
            </w:r>
            <w:r>
              <w:rPr>
                <w:rFonts w:hint="eastAsia"/>
                <w:sz w:val="21"/>
                <w:szCs w:val="21"/>
              </w:rPr>
              <w:t>，计划时间</w:t>
            </w:r>
            <w:r>
              <w:rPr>
                <w:rFonts w:hint="eastAsia"/>
                <w:sz w:val="21"/>
                <w:szCs w:val="21"/>
                <w:lang w:val="en-US" w:eastAsia="zh-CN"/>
              </w:rPr>
              <w:t>7</w:t>
            </w:r>
            <w:r>
              <w:rPr>
                <w:rFonts w:hint="eastAsia"/>
                <w:sz w:val="21"/>
                <w:szCs w:val="21"/>
              </w:rPr>
              <w:t>月</w:t>
            </w:r>
            <w:r>
              <w:rPr>
                <w:rFonts w:hint="eastAsia"/>
                <w:sz w:val="21"/>
                <w:szCs w:val="21"/>
                <w:lang w:val="en-US" w:eastAsia="zh-CN"/>
              </w:rPr>
              <w:t>25</w:t>
            </w:r>
            <w:r>
              <w:rPr>
                <w:rFonts w:hint="eastAsia"/>
                <w:sz w:val="21"/>
                <w:szCs w:val="21"/>
              </w:rPr>
              <w:t>日。参加人员包括公司管理层及各部门负责人等。计划中明确了评审内容和资料准备要求。</w:t>
            </w:r>
          </w:p>
          <w:p>
            <w:pPr>
              <w:keepLines w:val="0"/>
              <w:pageBreakBefore w:val="0"/>
              <w:widowControl w:val="0"/>
              <w:kinsoku/>
              <w:wordWrap/>
              <w:overflowPunct/>
              <w:topLinePunct w:val="0"/>
              <w:autoSpaceDE/>
              <w:autoSpaceDN/>
              <w:bidi w:val="0"/>
              <w:adjustRightInd/>
              <w:spacing w:line="240" w:lineRule="auto"/>
              <w:ind w:firstLine="420" w:firstLineChars="200"/>
              <w:textAlignment w:val="auto"/>
              <w:rPr>
                <w:rFonts w:hint="eastAsia"/>
                <w:sz w:val="21"/>
                <w:szCs w:val="21"/>
              </w:rPr>
            </w:pPr>
            <w:r>
              <w:rPr>
                <w:rFonts w:hint="eastAsia"/>
                <w:sz w:val="21"/>
                <w:szCs w:val="21"/>
              </w:rPr>
              <w:t>2.管理评审会议记录</w:t>
            </w:r>
          </w:p>
          <w:p>
            <w:pPr>
              <w:keepLines w:val="0"/>
              <w:pageBreakBefore w:val="0"/>
              <w:widowControl w:val="0"/>
              <w:kinsoku/>
              <w:wordWrap/>
              <w:overflowPunct/>
              <w:topLinePunct w:val="0"/>
              <w:autoSpaceDE/>
              <w:autoSpaceDN/>
              <w:bidi w:val="0"/>
              <w:adjustRightInd/>
              <w:spacing w:line="240" w:lineRule="auto"/>
              <w:ind w:firstLine="420" w:firstLineChars="200"/>
              <w:textAlignment w:val="auto"/>
              <w:rPr>
                <w:rFonts w:hint="eastAsia"/>
                <w:sz w:val="21"/>
                <w:szCs w:val="21"/>
              </w:rPr>
            </w:pPr>
            <w:r>
              <w:rPr>
                <w:rFonts w:hint="eastAsia"/>
                <w:sz w:val="21"/>
                <w:szCs w:val="21"/>
              </w:rPr>
              <w:t>按计划的时间实施了管理评审。管理评审输入：管理方针、目标的适宜行和实现情况；管理体系的符合性；内审结果；内外部环境分析及风险应对措施的落实情况；纠正预防措施及持续改进能力；重要环境因素和不可接受风险控制及效果；合规性评价；可能影响管理体系的变更；改进建议等，基本符合要求；</w:t>
            </w:r>
          </w:p>
          <w:p>
            <w:pPr>
              <w:keepLines w:val="0"/>
              <w:pageBreakBefore w:val="0"/>
              <w:widowControl w:val="0"/>
              <w:kinsoku/>
              <w:wordWrap/>
              <w:overflowPunct/>
              <w:topLinePunct w:val="0"/>
              <w:autoSpaceDE/>
              <w:autoSpaceDN/>
              <w:bidi w:val="0"/>
              <w:adjustRightInd/>
              <w:spacing w:line="240" w:lineRule="auto"/>
              <w:ind w:firstLine="420" w:firstLineChars="200"/>
              <w:textAlignment w:val="auto"/>
              <w:rPr>
                <w:rFonts w:hint="eastAsia"/>
                <w:sz w:val="21"/>
                <w:szCs w:val="21"/>
              </w:rPr>
            </w:pPr>
            <w:r>
              <w:rPr>
                <w:rFonts w:hint="eastAsia"/>
                <w:sz w:val="21"/>
                <w:szCs w:val="21"/>
              </w:rPr>
              <w:t>3.管理评审报告</w:t>
            </w:r>
          </w:p>
          <w:p>
            <w:pPr>
              <w:keepLines w:val="0"/>
              <w:pageBreakBefore w:val="0"/>
              <w:widowControl w:val="0"/>
              <w:kinsoku/>
              <w:wordWrap/>
              <w:overflowPunct/>
              <w:topLinePunct w:val="0"/>
              <w:autoSpaceDE/>
              <w:autoSpaceDN/>
              <w:bidi w:val="0"/>
              <w:adjustRightInd/>
              <w:spacing w:line="240" w:lineRule="auto"/>
              <w:ind w:firstLine="420" w:firstLineChars="200"/>
              <w:textAlignment w:val="auto"/>
              <w:rPr>
                <w:rFonts w:hint="eastAsia"/>
                <w:sz w:val="21"/>
                <w:szCs w:val="21"/>
              </w:rPr>
            </w:pPr>
            <w:r>
              <w:rPr>
                <w:rFonts w:hint="eastAsia"/>
                <w:sz w:val="21"/>
                <w:szCs w:val="21"/>
              </w:rPr>
              <w:t>管理评审输出：</w:t>
            </w:r>
          </w:p>
          <w:p>
            <w:pPr>
              <w:keepLines w:val="0"/>
              <w:pageBreakBefore w:val="0"/>
              <w:widowControl w:val="0"/>
              <w:kinsoku/>
              <w:wordWrap/>
              <w:overflowPunct/>
              <w:topLinePunct w:val="0"/>
              <w:autoSpaceDE/>
              <w:autoSpaceDN/>
              <w:bidi w:val="0"/>
              <w:adjustRightInd/>
              <w:spacing w:line="240" w:lineRule="auto"/>
              <w:ind w:firstLine="420" w:firstLineChars="200"/>
              <w:textAlignment w:val="auto"/>
              <w:rPr>
                <w:rFonts w:hint="default" w:eastAsia="宋体"/>
                <w:sz w:val="21"/>
                <w:szCs w:val="21"/>
                <w:lang w:val="en-US" w:eastAsia="zh-CN"/>
              </w:rPr>
            </w:pPr>
            <w:r>
              <w:rPr>
                <w:rFonts w:hint="eastAsia" w:eastAsia="宋体"/>
                <w:sz w:val="21"/>
                <w:szCs w:val="21"/>
                <w:lang w:val="en-US" w:eastAsia="zh-CN"/>
              </w:rPr>
              <w:t>①流程优化：进一步优化各体系过程的工作流程，以提高各过程的有效性和效率；</w:t>
            </w:r>
          </w:p>
          <w:p>
            <w:pPr>
              <w:keepLines w:val="0"/>
              <w:pageBreakBefore w:val="0"/>
              <w:widowControl w:val="0"/>
              <w:kinsoku/>
              <w:wordWrap/>
              <w:overflowPunct/>
              <w:topLinePunct w:val="0"/>
              <w:autoSpaceDE/>
              <w:autoSpaceDN/>
              <w:bidi w:val="0"/>
              <w:adjustRightInd/>
              <w:spacing w:line="240" w:lineRule="auto"/>
              <w:ind w:firstLine="420" w:firstLineChars="200"/>
              <w:textAlignment w:val="auto"/>
              <w:rPr>
                <w:rFonts w:hint="eastAsia" w:eastAsia="宋体"/>
                <w:sz w:val="21"/>
                <w:szCs w:val="21"/>
                <w:lang w:val="en-US" w:eastAsia="zh-CN"/>
              </w:rPr>
            </w:pPr>
            <w:r>
              <w:rPr>
                <w:rFonts w:hint="eastAsia" w:eastAsia="宋体"/>
                <w:sz w:val="21"/>
                <w:szCs w:val="21"/>
                <w:lang w:val="en-US" w:eastAsia="zh-CN"/>
              </w:rPr>
              <w:t>②优化目标管控体系，从上往下策划；</w:t>
            </w:r>
          </w:p>
          <w:p>
            <w:pPr>
              <w:keepLines w:val="0"/>
              <w:pageBreakBefore w:val="0"/>
              <w:widowControl w:val="0"/>
              <w:kinsoku/>
              <w:wordWrap/>
              <w:overflowPunct/>
              <w:topLinePunct w:val="0"/>
              <w:autoSpaceDE/>
              <w:autoSpaceDN/>
              <w:bidi w:val="0"/>
              <w:adjustRightInd/>
              <w:spacing w:line="240" w:lineRule="auto"/>
              <w:ind w:firstLine="420" w:firstLineChars="200"/>
              <w:textAlignment w:val="auto"/>
              <w:rPr>
                <w:rFonts w:hint="eastAsia"/>
                <w:sz w:val="21"/>
                <w:szCs w:val="21"/>
              </w:rPr>
            </w:pPr>
            <w:r>
              <w:rPr>
                <w:rFonts w:hint="eastAsia"/>
                <w:sz w:val="21"/>
                <w:szCs w:val="21"/>
              </w:rPr>
              <w:t>完成期限：2021年12月</w:t>
            </w:r>
          </w:p>
          <w:p>
            <w:pPr>
              <w:keepLines w:val="0"/>
              <w:pageBreakBefore w:val="0"/>
              <w:widowControl w:val="0"/>
              <w:kinsoku/>
              <w:wordWrap/>
              <w:overflowPunct/>
              <w:topLinePunct w:val="0"/>
              <w:autoSpaceDE/>
              <w:autoSpaceDN/>
              <w:bidi w:val="0"/>
              <w:adjustRightInd/>
              <w:spacing w:line="240" w:lineRule="auto"/>
              <w:ind w:firstLine="420" w:firstLineChars="200"/>
              <w:textAlignment w:val="auto"/>
              <w:rPr>
                <w:rFonts w:hint="eastAsia"/>
                <w:sz w:val="21"/>
                <w:szCs w:val="21"/>
              </w:rPr>
            </w:pPr>
            <w:r>
              <w:rPr>
                <w:rFonts w:hint="eastAsia"/>
                <w:sz w:val="21"/>
                <w:szCs w:val="21"/>
                <w:lang w:val="en-US" w:eastAsia="zh-CN"/>
              </w:rPr>
              <w:t>4</w:t>
            </w:r>
            <w:r>
              <w:rPr>
                <w:rFonts w:hint="eastAsia"/>
                <w:sz w:val="21"/>
                <w:szCs w:val="21"/>
              </w:rPr>
              <w:t>．自一体化体系运行以来，公司各部门员工不断增强执行EO标准意识，以EO标准为行动的准则，积极应用PDCA的管理方法，严格管理质量环境安全和各项工作。服务合格率明显提高,未发生重大不合格和安全事故，也未发生顾客报怨现象。</w:t>
            </w:r>
          </w:p>
          <w:p>
            <w:pPr>
              <w:keepLines w:val="0"/>
              <w:pageBreakBefore w:val="0"/>
              <w:widowControl w:val="0"/>
              <w:kinsoku/>
              <w:wordWrap/>
              <w:overflowPunct/>
              <w:topLinePunct w:val="0"/>
              <w:autoSpaceDE/>
              <w:autoSpaceDN/>
              <w:bidi w:val="0"/>
              <w:adjustRightInd/>
              <w:spacing w:line="240" w:lineRule="auto"/>
              <w:ind w:firstLine="420" w:firstLineChars="200"/>
              <w:textAlignment w:val="auto"/>
              <w:rPr>
                <w:rFonts w:hint="eastAsia"/>
                <w:sz w:val="21"/>
                <w:szCs w:val="21"/>
              </w:rPr>
            </w:pPr>
            <w:r>
              <w:rPr>
                <w:rFonts w:hint="eastAsia"/>
                <w:sz w:val="21"/>
                <w:szCs w:val="21"/>
              </w:rPr>
              <w:t>总体评价质量环境职业健康安全管理体系运行是有效的，资源提供是充分的，方针目标是适宜的。</w:t>
            </w:r>
          </w:p>
          <w:p>
            <w:pPr>
              <w:keepLines w:val="0"/>
              <w:pageBreakBefore w:val="0"/>
              <w:widowControl w:val="0"/>
              <w:kinsoku/>
              <w:wordWrap/>
              <w:overflowPunct/>
              <w:topLinePunct w:val="0"/>
              <w:autoSpaceDE/>
              <w:autoSpaceDN/>
              <w:bidi w:val="0"/>
              <w:adjustRightInd/>
              <w:spacing w:line="240" w:lineRule="auto"/>
              <w:ind w:firstLine="420" w:firstLineChars="200"/>
              <w:textAlignment w:val="auto"/>
              <w:rPr>
                <w:rFonts w:hint="eastAsia"/>
                <w:sz w:val="21"/>
                <w:szCs w:val="21"/>
              </w:rPr>
            </w:pPr>
            <w:r>
              <w:rPr>
                <w:rFonts w:hint="eastAsia"/>
                <w:sz w:val="21"/>
                <w:szCs w:val="21"/>
              </w:rPr>
              <w:t>以上改进措施，目前正在实施中，完成时间为2021年12月，后续可进一步关注。</w:t>
            </w:r>
          </w:p>
          <w:p>
            <w:pPr>
              <w:keepLines w:val="0"/>
              <w:pageBreakBefore w:val="0"/>
              <w:widowControl w:val="0"/>
              <w:kinsoku/>
              <w:wordWrap/>
              <w:overflowPunct/>
              <w:topLinePunct w:val="0"/>
              <w:autoSpaceDE/>
              <w:autoSpaceDN/>
              <w:bidi w:val="0"/>
              <w:adjustRightInd/>
              <w:spacing w:line="240" w:lineRule="auto"/>
              <w:ind w:firstLine="420" w:firstLineChars="200"/>
              <w:textAlignment w:val="auto"/>
              <w:rPr>
                <w:sz w:val="21"/>
                <w:szCs w:val="21"/>
              </w:rPr>
            </w:pPr>
            <w:r>
              <w:rPr>
                <w:rFonts w:hint="eastAsia"/>
                <w:sz w:val="21"/>
                <w:szCs w:val="21"/>
              </w:rPr>
              <w:t>管理评审结论：EO基本有效、充分和适宜。执行以上改进建议,加大EO改进力度，以确保EO整体绩效的提高。</w:t>
            </w:r>
          </w:p>
        </w:tc>
        <w:tc>
          <w:tcPr>
            <w:tcW w:w="1585" w:type="dxa"/>
          </w:tcPr>
          <w:p>
            <w:pPr>
              <w:keepLines w:val="0"/>
              <w:pageBreakBefore w:val="0"/>
              <w:widowControl w:val="0"/>
              <w:kinsoku/>
              <w:wordWrap/>
              <w:overflowPunct/>
              <w:topLinePunct w:val="0"/>
              <w:autoSpaceDE/>
              <w:autoSpaceDN/>
              <w:bidi w:val="0"/>
              <w:adjustRightInd/>
              <w:spacing w:line="240" w:lineRule="auto"/>
              <w:ind w:firstLine="420" w:firstLineChars="200"/>
              <w:textAlignment w:val="auto"/>
              <w:rPr>
                <w:sz w:val="21"/>
                <w:szCs w:val="21"/>
              </w:rPr>
            </w:pPr>
            <w:r>
              <w:rPr>
                <w:rFonts w:hint="eastAsia"/>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2122"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宋体" w:hAnsi="宋体" w:eastAsia="宋体" w:cs="宋体"/>
                <w:sz w:val="21"/>
                <w:szCs w:val="21"/>
                <w:lang w:val="en-US" w:eastAsia="zh-CN"/>
              </w:rPr>
            </w:pPr>
            <w:r>
              <w:rPr>
                <w:rFonts w:hint="eastAsia" w:ascii="宋体" w:hAnsi="宋体" w:cs="宋体"/>
                <w:sz w:val="21"/>
                <w:szCs w:val="21"/>
              </w:rPr>
              <w:t>持续改进</w:t>
            </w:r>
            <w:r>
              <w:rPr>
                <w:rFonts w:hint="eastAsia" w:ascii="宋体" w:hAnsi="宋体" w:cs="宋体"/>
                <w:sz w:val="21"/>
                <w:szCs w:val="21"/>
                <w:lang w:val="en-US" w:eastAsia="zh-CN"/>
              </w:rPr>
              <w:t xml:space="preserve">  总则</w:t>
            </w:r>
          </w:p>
        </w:tc>
        <w:tc>
          <w:tcPr>
            <w:tcW w:w="998" w:type="dxa"/>
            <w:vAlign w:val="top"/>
          </w:tcPr>
          <w:p>
            <w:pPr>
              <w:spacing w:line="280" w:lineRule="exact"/>
              <w:rPr>
                <w:rFonts w:hint="eastAsia" w:ascii="宋体" w:hAnsi="宋体" w:eastAsia="宋体" w:cs="宋体"/>
                <w:kern w:val="2"/>
                <w:sz w:val="21"/>
                <w:szCs w:val="21"/>
                <w:lang w:val="en-US" w:eastAsia="zh-CN" w:bidi="ar-SA"/>
              </w:rPr>
            </w:pPr>
            <w:r>
              <w:rPr>
                <w:rFonts w:hint="eastAsia"/>
                <w:szCs w:val="21"/>
              </w:rPr>
              <w:t>EO 10.1</w:t>
            </w:r>
          </w:p>
        </w:tc>
        <w:tc>
          <w:tcPr>
            <w:tcW w:w="10004" w:type="dxa"/>
            <w:vAlign w:val="top"/>
          </w:tcPr>
          <w:p>
            <w:pPr>
              <w:spacing w:line="280" w:lineRule="exact"/>
              <w:ind w:firstLine="420" w:firstLineChars="200"/>
              <w:rPr>
                <w:rFonts w:hint="eastAsia" w:ascii="宋体" w:hAnsi="宋体" w:eastAsia="宋体" w:cs="宋体"/>
                <w:kern w:val="2"/>
                <w:sz w:val="21"/>
                <w:szCs w:val="21"/>
                <w:lang w:val="en-US" w:eastAsia="zh-CN" w:bidi="ar-SA"/>
              </w:rPr>
            </w:pPr>
            <w:r>
              <w:rPr>
                <w:rFonts w:hint="eastAsia" w:ascii="宋体" w:hAnsi="宋体" w:cs="宋体"/>
                <w:szCs w:val="21"/>
              </w:rPr>
              <w:t xml:space="preserve">综合全部审核证据认为公司管理体系方针、目标、内部审核、管理评审、不合格和纠正措施各项要求得到落实，相关管理活动得到有效开展，体现了持续改进的要求及改进产品和产品来满足未来的需要和期望。考虑了分析、评价结果及管理评审的输出，并确定了对存在应关注的持续改进的需求和机遇。 </w:t>
            </w:r>
          </w:p>
        </w:tc>
        <w:tc>
          <w:tcPr>
            <w:tcW w:w="1585" w:type="dxa"/>
            <w:vAlign w:val="top"/>
          </w:tcPr>
          <w:p>
            <w:pPr>
              <w:spacing w:line="280" w:lineRule="exact"/>
              <w:ind w:firstLine="420" w:firstLineChars="200"/>
              <w:rPr>
                <w:rFonts w:hint="eastAsia" w:ascii="宋体" w:hAnsi="宋体" w:eastAsia="宋体" w:cs="宋体"/>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22"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宋体" w:hAnsi="宋体" w:cs="宋体"/>
                <w:sz w:val="21"/>
                <w:szCs w:val="21"/>
              </w:rPr>
            </w:pPr>
            <w:r>
              <w:rPr>
                <w:rFonts w:hint="eastAsia" w:ascii="宋体" w:hAnsi="宋体" w:cs="宋体"/>
                <w:sz w:val="21"/>
                <w:szCs w:val="21"/>
              </w:rPr>
              <w:t>持续改进</w:t>
            </w:r>
          </w:p>
        </w:tc>
        <w:tc>
          <w:tcPr>
            <w:tcW w:w="998"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sz w:val="21"/>
                <w:szCs w:val="21"/>
              </w:rPr>
            </w:pPr>
            <w:r>
              <w:rPr>
                <w:rFonts w:hint="eastAsia"/>
                <w:sz w:val="21"/>
                <w:szCs w:val="21"/>
              </w:rPr>
              <w:t>EO 10.3</w:t>
            </w:r>
          </w:p>
        </w:tc>
        <w:tc>
          <w:tcPr>
            <w:tcW w:w="10004" w:type="dxa"/>
            <w:vAlign w:val="center"/>
          </w:tcPr>
          <w:p>
            <w:pPr>
              <w:keepLines w:val="0"/>
              <w:pageBreakBefore w:val="0"/>
              <w:widowControl w:val="0"/>
              <w:kinsoku/>
              <w:wordWrap/>
              <w:overflowPunct/>
              <w:topLinePunct w:val="0"/>
              <w:autoSpaceDE/>
              <w:autoSpaceDN/>
              <w:bidi w:val="0"/>
              <w:adjustRightInd/>
              <w:spacing w:line="240" w:lineRule="auto"/>
              <w:ind w:firstLine="420" w:firstLineChars="200"/>
              <w:textAlignment w:val="auto"/>
              <w:rPr>
                <w:rFonts w:ascii="宋体" w:hAnsi="宋体" w:cs="宋体"/>
                <w:sz w:val="21"/>
                <w:szCs w:val="21"/>
              </w:rPr>
            </w:pPr>
            <w:r>
              <w:rPr>
                <w:rFonts w:hint="eastAsia" w:ascii="宋体" w:hAnsi="宋体" w:cs="宋体"/>
                <w:sz w:val="21"/>
                <w:szCs w:val="21"/>
              </w:rPr>
              <w:t xml:space="preserve">    公司组织确定并选择改进机会，采取必要措施，满足顾客要求和增强顾客满意。</w:t>
            </w:r>
          </w:p>
          <w:p>
            <w:pPr>
              <w:keepLines w:val="0"/>
              <w:pageBreakBefore w:val="0"/>
              <w:widowControl w:val="0"/>
              <w:kinsoku/>
              <w:wordWrap/>
              <w:overflowPunct/>
              <w:topLinePunct w:val="0"/>
              <w:autoSpaceDE/>
              <w:autoSpaceDN/>
              <w:bidi w:val="0"/>
              <w:adjustRightInd/>
              <w:spacing w:line="240" w:lineRule="auto"/>
              <w:ind w:firstLine="420" w:firstLineChars="200"/>
              <w:textAlignment w:val="auto"/>
              <w:rPr>
                <w:rFonts w:ascii="宋体" w:hAnsi="宋体" w:cs="宋体"/>
                <w:sz w:val="21"/>
                <w:szCs w:val="21"/>
              </w:rPr>
            </w:pPr>
            <w:r>
              <w:rPr>
                <w:rFonts w:hint="eastAsia" w:ascii="宋体" w:hAnsi="宋体" w:cs="宋体"/>
                <w:sz w:val="21"/>
                <w:szCs w:val="21"/>
              </w:rPr>
              <w:t>包括：</w:t>
            </w:r>
          </w:p>
          <w:p>
            <w:pPr>
              <w:keepLines w:val="0"/>
              <w:pageBreakBefore w:val="0"/>
              <w:widowControl w:val="0"/>
              <w:kinsoku/>
              <w:wordWrap/>
              <w:overflowPunct/>
              <w:topLinePunct w:val="0"/>
              <w:autoSpaceDE/>
              <w:autoSpaceDN/>
              <w:bidi w:val="0"/>
              <w:adjustRightInd/>
              <w:spacing w:line="240" w:lineRule="auto"/>
              <w:ind w:firstLine="420" w:firstLineChars="200"/>
              <w:textAlignment w:val="auto"/>
              <w:rPr>
                <w:rFonts w:ascii="宋体" w:hAnsi="宋体" w:cs="宋体"/>
                <w:sz w:val="21"/>
                <w:szCs w:val="21"/>
              </w:rPr>
            </w:pPr>
            <w:r>
              <w:rPr>
                <w:rFonts w:hint="eastAsia" w:ascii="宋体" w:hAnsi="宋体" w:cs="宋体"/>
                <w:sz w:val="21"/>
                <w:szCs w:val="21"/>
              </w:rPr>
              <w:t>a) 纠正或减少不利影响；</w:t>
            </w:r>
          </w:p>
          <w:p>
            <w:pPr>
              <w:keepLines w:val="0"/>
              <w:pageBreakBefore w:val="0"/>
              <w:widowControl w:val="0"/>
              <w:kinsoku/>
              <w:wordWrap/>
              <w:overflowPunct/>
              <w:topLinePunct w:val="0"/>
              <w:autoSpaceDE/>
              <w:autoSpaceDN/>
              <w:bidi w:val="0"/>
              <w:adjustRightInd/>
              <w:spacing w:line="240" w:lineRule="auto"/>
              <w:ind w:firstLine="420" w:firstLineChars="200"/>
              <w:textAlignment w:val="auto"/>
              <w:rPr>
                <w:rFonts w:ascii="宋体" w:hAnsi="宋体" w:cs="宋体"/>
                <w:sz w:val="21"/>
                <w:szCs w:val="21"/>
              </w:rPr>
            </w:pPr>
            <w:r>
              <w:rPr>
                <w:rFonts w:hint="eastAsia" w:ascii="宋体" w:hAnsi="宋体" w:cs="宋体"/>
                <w:sz w:val="21"/>
                <w:szCs w:val="21"/>
              </w:rPr>
              <w:t>b) 改进管理体系绩效和有效性。</w:t>
            </w:r>
          </w:p>
          <w:p>
            <w:pPr>
              <w:keepLines w:val="0"/>
              <w:pageBreakBefore w:val="0"/>
              <w:widowControl w:val="0"/>
              <w:kinsoku/>
              <w:wordWrap/>
              <w:overflowPunct/>
              <w:topLinePunct w:val="0"/>
              <w:autoSpaceDE/>
              <w:autoSpaceDN/>
              <w:bidi w:val="0"/>
              <w:adjustRightInd/>
              <w:spacing w:line="240" w:lineRule="auto"/>
              <w:ind w:firstLine="420" w:firstLineChars="200"/>
              <w:textAlignment w:val="auto"/>
              <w:rPr>
                <w:rFonts w:ascii="宋体" w:hAnsi="宋体" w:cs="宋体"/>
                <w:sz w:val="21"/>
                <w:szCs w:val="21"/>
              </w:rPr>
            </w:pPr>
            <w:r>
              <w:rPr>
                <w:rFonts w:hint="eastAsia" w:ascii="宋体" w:hAnsi="宋体" w:cs="宋体"/>
                <w:sz w:val="21"/>
                <w:szCs w:val="21"/>
              </w:rPr>
              <w:t>对以下方面所需的监视、测量、分析和改进过程进行策划和实施：</w:t>
            </w:r>
          </w:p>
          <w:p>
            <w:pPr>
              <w:keepLines w:val="0"/>
              <w:pageBreakBefore w:val="0"/>
              <w:widowControl w:val="0"/>
              <w:kinsoku/>
              <w:wordWrap/>
              <w:overflowPunct/>
              <w:topLinePunct w:val="0"/>
              <w:autoSpaceDE/>
              <w:autoSpaceDN/>
              <w:bidi w:val="0"/>
              <w:adjustRightInd/>
              <w:spacing w:line="240" w:lineRule="auto"/>
              <w:ind w:firstLine="420" w:firstLineChars="200"/>
              <w:textAlignment w:val="auto"/>
              <w:rPr>
                <w:rFonts w:ascii="宋体" w:hAnsi="宋体" w:cs="宋体"/>
                <w:sz w:val="21"/>
                <w:szCs w:val="21"/>
              </w:rPr>
            </w:pPr>
            <w:r>
              <w:rPr>
                <w:rFonts w:hint="eastAsia" w:ascii="宋体" w:hAnsi="宋体" w:cs="宋体"/>
                <w:sz w:val="21"/>
                <w:szCs w:val="21"/>
              </w:rPr>
              <w:t>1.确保管理体系的符合性；</w:t>
            </w:r>
          </w:p>
          <w:p>
            <w:pPr>
              <w:keepLines w:val="0"/>
              <w:pageBreakBefore w:val="0"/>
              <w:widowControl w:val="0"/>
              <w:kinsoku/>
              <w:wordWrap/>
              <w:overflowPunct/>
              <w:topLinePunct w:val="0"/>
              <w:autoSpaceDE/>
              <w:autoSpaceDN/>
              <w:bidi w:val="0"/>
              <w:adjustRightInd/>
              <w:spacing w:line="240" w:lineRule="auto"/>
              <w:ind w:firstLine="420" w:firstLineChars="200"/>
              <w:textAlignment w:val="auto"/>
              <w:rPr>
                <w:rFonts w:ascii="宋体" w:hAnsi="宋体" w:cs="宋体"/>
                <w:sz w:val="21"/>
                <w:szCs w:val="21"/>
              </w:rPr>
            </w:pPr>
            <w:r>
              <w:rPr>
                <w:rFonts w:hint="eastAsia" w:ascii="宋体" w:hAnsi="宋体" w:cs="宋体"/>
                <w:sz w:val="21"/>
                <w:szCs w:val="21"/>
              </w:rPr>
              <w:t>2.持续改进管理体系的有效性。</w:t>
            </w:r>
          </w:p>
          <w:p>
            <w:pPr>
              <w:keepLines w:val="0"/>
              <w:pageBreakBefore w:val="0"/>
              <w:widowControl w:val="0"/>
              <w:kinsoku/>
              <w:wordWrap/>
              <w:overflowPunct/>
              <w:topLinePunct w:val="0"/>
              <w:autoSpaceDE/>
              <w:autoSpaceDN/>
              <w:bidi w:val="0"/>
              <w:adjustRightInd/>
              <w:spacing w:line="240" w:lineRule="auto"/>
              <w:ind w:firstLine="420" w:firstLineChars="200"/>
              <w:textAlignment w:val="auto"/>
              <w:rPr>
                <w:rFonts w:ascii="宋体" w:hAnsi="宋体" w:cs="宋体"/>
                <w:sz w:val="21"/>
                <w:szCs w:val="21"/>
              </w:rPr>
            </w:pPr>
            <w:r>
              <w:rPr>
                <w:rFonts w:hint="eastAsia" w:ascii="宋体" w:hAnsi="宋体" w:cs="宋体"/>
                <w:sz w:val="21"/>
                <w:szCs w:val="21"/>
              </w:rPr>
              <w:t>根据不同过程、不同产品和不同要求，采取不同的方法进行监视、测量和分析。</w:t>
            </w:r>
          </w:p>
          <w:p>
            <w:pPr>
              <w:keepLines w:val="0"/>
              <w:pageBreakBefore w:val="0"/>
              <w:widowControl w:val="0"/>
              <w:kinsoku/>
              <w:wordWrap/>
              <w:overflowPunct/>
              <w:topLinePunct w:val="0"/>
              <w:autoSpaceDE/>
              <w:autoSpaceDN/>
              <w:bidi w:val="0"/>
              <w:adjustRightInd/>
              <w:spacing w:line="240" w:lineRule="auto"/>
              <w:ind w:firstLine="420" w:firstLineChars="200"/>
              <w:textAlignment w:val="auto"/>
              <w:rPr>
                <w:rFonts w:ascii="宋体" w:hAnsi="宋体" w:cs="宋体"/>
                <w:sz w:val="21"/>
                <w:szCs w:val="21"/>
              </w:rPr>
            </w:pPr>
            <w:r>
              <w:rPr>
                <w:rFonts w:hint="eastAsia" w:ascii="宋体" w:hAnsi="宋体" w:cs="宋体"/>
                <w:sz w:val="21"/>
                <w:szCs w:val="21"/>
              </w:rPr>
              <w:t>公司利用管理方针、目标、内审和外审、数据分析、纠正和预防措施以及管理评审，识别任何改进的机会，持续改进管理体系的适宜性、充分性和有效性。详见相关条款审核记录。</w:t>
            </w:r>
          </w:p>
        </w:tc>
        <w:tc>
          <w:tcPr>
            <w:tcW w:w="1585" w:type="dxa"/>
          </w:tcPr>
          <w:p>
            <w:pPr>
              <w:keepLines w:val="0"/>
              <w:pageBreakBefore w:val="0"/>
              <w:widowControl w:val="0"/>
              <w:kinsoku/>
              <w:wordWrap/>
              <w:overflowPunct/>
              <w:topLinePunct w:val="0"/>
              <w:autoSpaceDE/>
              <w:autoSpaceDN/>
              <w:bidi w:val="0"/>
              <w:adjustRightInd/>
              <w:spacing w:line="240" w:lineRule="auto"/>
              <w:ind w:firstLine="420" w:firstLineChars="200"/>
              <w:textAlignment w:val="auto"/>
              <w:rPr>
                <w:sz w:val="21"/>
                <w:szCs w:val="21"/>
              </w:rPr>
            </w:pPr>
            <w:r>
              <w:rPr>
                <w:rFonts w:hint="eastAsia"/>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0" w:hRule="atLeast"/>
        </w:trPr>
        <w:tc>
          <w:tcPr>
            <w:tcW w:w="2122" w:type="dxa"/>
            <w:vAlign w:val="top"/>
          </w:tcPr>
          <w:p>
            <w:pPr>
              <w:spacing w:line="280" w:lineRule="exact"/>
              <w:rPr>
                <w:rFonts w:hint="eastAsia" w:ascii="宋体" w:hAnsi="宋体" w:eastAsia="宋体" w:cs="宋体"/>
                <w:kern w:val="2"/>
                <w:sz w:val="21"/>
                <w:szCs w:val="21"/>
                <w:lang w:val="en-US" w:eastAsia="zh-CN" w:bidi="ar-SA"/>
              </w:rPr>
            </w:pPr>
            <w:r>
              <w:rPr>
                <w:rFonts w:hint="eastAsia" w:ascii="宋体" w:hAnsi="宋体" w:cs="宋体"/>
                <w:szCs w:val="21"/>
                <w:lang w:val="en-US" w:eastAsia="zh-CN"/>
              </w:rPr>
              <w:t>员工代表</w:t>
            </w:r>
          </w:p>
        </w:tc>
        <w:tc>
          <w:tcPr>
            <w:tcW w:w="998" w:type="dxa"/>
            <w:vAlign w:val="top"/>
          </w:tcPr>
          <w:p>
            <w:pPr>
              <w:spacing w:line="280" w:lineRule="exact"/>
              <w:rPr>
                <w:rFonts w:hint="eastAsia" w:ascii="Times New Roman" w:hAnsi="Times New Roman" w:eastAsia="宋体" w:cs="Times New Roman"/>
                <w:kern w:val="2"/>
                <w:sz w:val="21"/>
                <w:szCs w:val="21"/>
                <w:lang w:val="en-US" w:eastAsia="zh-CN" w:bidi="ar-SA"/>
              </w:rPr>
            </w:pPr>
          </w:p>
        </w:tc>
        <w:tc>
          <w:tcPr>
            <w:tcW w:w="10004" w:type="dxa"/>
            <w:vAlign w:val="center"/>
          </w:tcPr>
          <w:p>
            <w:pPr>
              <w:spacing w:line="280" w:lineRule="exact"/>
              <w:ind w:firstLine="420" w:firstLineChars="200"/>
              <w:rPr>
                <w:rFonts w:hint="eastAsia" w:ascii="宋体" w:hAnsi="宋体" w:cs="宋体"/>
                <w:szCs w:val="21"/>
                <w:lang w:val="en-US" w:eastAsia="zh-CN"/>
              </w:rPr>
            </w:pPr>
            <w:r>
              <w:rPr>
                <w:rFonts w:hint="eastAsia" w:ascii="宋体" w:hAnsi="宋体" w:cs="宋体"/>
                <w:szCs w:val="21"/>
                <w:lang w:val="en-US" w:eastAsia="zh-CN"/>
              </w:rPr>
              <w:t>根据举行结果，公司任命项梦霞为公司员工代表；经洽谈，员工代表知晓职责。</w:t>
            </w:r>
          </w:p>
          <w:p>
            <w:pPr>
              <w:spacing w:line="280" w:lineRule="exact"/>
              <w:ind w:firstLine="420" w:firstLineChars="200"/>
              <w:rPr>
                <w:rFonts w:hint="eastAsia" w:ascii="宋体" w:hAnsi="宋体" w:cs="宋体"/>
                <w:szCs w:val="21"/>
                <w:lang w:val="en-US" w:eastAsia="zh-CN"/>
              </w:rPr>
            </w:pPr>
            <w:r>
              <w:rPr>
                <w:rFonts w:hint="eastAsia" w:ascii="宋体" w:hAnsi="宋体" w:cs="宋体"/>
                <w:szCs w:val="21"/>
                <w:lang w:val="en-US" w:eastAsia="zh-CN"/>
              </w:rPr>
              <w:t xml:space="preserve"> 所有与职工相关活动基本全员参与和协商；本次职业健康安全体系建立，全体员工基本知晓。</w:t>
            </w:r>
          </w:p>
          <w:p>
            <w:pPr>
              <w:spacing w:line="280" w:lineRule="exact"/>
              <w:ind w:firstLine="420" w:firstLineChars="200"/>
              <w:rPr>
                <w:rFonts w:hint="eastAsia" w:ascii="宋体" w:hAnsi="宋体" w:cs="宋体"/>
                <w:szCs w:val="21"/>
                <w:lang w:val="en-US" w:eastAsia="zh-CN"/>
              </w:rPr>
            </w:pPr>
            <w:r>
              <w:rPr>
                <w:rFonts w:hint="eastAsia" w:ascii="宋体" w:hAnsi="宋体" w:cs="宋体"/>
                <w:szCs w:val="21"/>
                <w:lang w:val="en-US" w:eastAsia="zh-CN"/>
              </w:rPr>
              <w:t>劳动待遇、休息时间、劳动劳保等相关方面的工作，由项梦霞代表职工直接与总经理沟通。</w:t>
            </w:r>
          </w:p>
          <w:p>
            <w:pPr>
              <w:spacing w:line="280" w:lineRule="exact"/>
              <w:ind w:firstLine="420" w:firstLineChars="200"/>
              <w:rPr>
                <w:rFonts w:hint="eastAsia" w:ascii="宋体" w:hAnsi="宋体" w:cs="宋体"/>
                <w:szCs w:val="21"/>
                <w:lang w:val="en-US" w:eastAsia="zh-CN"/>
              </w:rPr>
            </w:pPr>
            <w:r>
              <w:rPr>
                <w:rFonts w:hint="eastAsia" w:ascii="宋体" w:hAnsi="宋体" w:cs="宋体"/>
                <w:szCs w:val="21"/>
                <w:lang w:val="en-US" w:eastAsia="zh-CN"/>
              </w:rPr>
              <w:t>在公司劳动期间，公司定期发放劳保用品：耳塞、手套、口罩等。疫情期间，统一要求员工上班测温，上下班途中配戴口罩。</w:t>
            </w:r>
          </w:p>
          <w:p>
            <w:pPr>
              <w:spacing w:line="280" w:lineRule="exact"/>
              <w:ind w:firstLine="420" w:firstLineChars="200"/>
              <w:rPr>
                <w:rFonts w:hint="eastAsia" w:ascii="宋体" w:hAnsi="宋体" w:cs="宋体"/>
                <w:szCs w:val="21"/>
                <w:lang w:val="en-US" w:eastAsia="zh-CN"/>
              </w:rPr>
            </w:pPr>
            <w:r>
              <w:rPr>
                <w:rFonts w:hint="eastAsia" w:ascii="宋体" w:hAnsi="宋体" w:cs="宋体"/>
                <w:szCs w:val="21"/>
                <w:lang w:val="en-US" w:eastAsia="zh-CN"/>
              </w:rPr>
              <w:t>公司实行单休制度，一天工作8小时，车间两班倒生产安排，与相关工人进行沟通并同意，无强制劳动情况。</w:t>
            </w:r>
          </w:p>
          <w:p>
            <w:pPr>
              <w:spacing w:line="280" w:lineRule="exact"/>
              <w:ind w:firstLine="420" w:firstLineChars="200"/>
              <w:rPr>
                <w:rFonts w:hint="default" w:ascii="宋体" w:hAnsi="宋体" w:cs="宋体"/>
                <w:szCs w:val="21"/>
                <w:lang w:val="en-US" w:eastAsia="zh-CN"/>
              </w:rPr>
            </w:pPr>
            <w:r>
              <w:rPr>
                <w:rFonts w:hint="eastAsia" w:ascii="宋体" w:hAnsi="宋体" w:cs="宋体"/>
                <w:szCs w:val="21"/>
                <w:lang w:val="en-US" w:eastAsia="zh-CN"/>
              </w:rPr>
              <w:t>员工每年有5天带薪休假权利。公司有未按制度执行的罚款制度，但公司无恶意扣工资和罚款情况。</w:t>
            </w:r>
          </w:p>
          <w:p>
            <w:pPr>
              <w:spacing w:line="280" w:lineRule="exact"/>
              <w:ind w:firstLine="420" w:firstLineChars="200"/>
              <w:rPr>
                <w:rFonts w:hint="eastAsia" w:ascii="宋体" w:hAnsi="宋体" w:eastAsia="宋体" w:cs="宋体"/>
                <w:kern w:val="2"/>
                <w:sz w:val="21"/>
                <w:szCs w:val="21"/>
                <w:lang w:val="en-US" w:eastAsia="zh-CN" w:bidi="ar-SA"/>
              </w:rPr>
            </w:pPr>
          </w:p>
        </w:tc>
        <w:tc>
          <w:tcPr>
            <w:tcW w:w="1585" w:type="dxa"/>
          </w:tcPr>
          <w:p>
            <w:pPr>
              <w:keepLines w:val="0"/>
              <w:pageBreakBefore w:val="0"/>
              <w:widowControl w:val="0"/>
              <w:kinsoku/>
              <w:wordWrap/>
              <w:overflowPunct/>
              <w:topLinePunct w:val="0"/>
              <w:autoSpaceDE/>
              <w:autoSpaceDN/>
              <w:bidi w:val="0"/>
              <w:adjustRightInd/>
              <w:spacing w:line="240" w:lineRule="auto"/>
              <w:ind w:firstLine="420" w:firstLineChars="200"/>
              <w:textAlignment w:val="auto"/>
              <w:rPr>
                <w:rFonts w:hint="eastAsia"/>
                <w:sz w:val="21"/>
                <w:szCs w:val="21"/>
              </w:rPr>
            </w:pPr>
          </w:p>
        </w:tc>
      </w:tr>
    </w:tbl>
    <w:p>
      <w:r>
        <w:ptab w:relativeTo="margin" w:alignment="center" w:leader="none"/>
      </w:r>
    </w:p>
    <w:p>
      <w:pPr>
        <w:pStyle w:val="6"/>
      </w:pPr>
      <w:r>
        <w:rPr>
          <w:rFonts w:hint="eastAsia"/>
        </w:rPr>
        <w:t>说明：不符合标注N</w:t>
      </w:r>
      <w:bookmarkStart w:id="2" w:name="_GoBack"/>
      <w:bookmarkEnd w:id="2"/>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Microsoft Tai Le">
    <w:panose1 w:val="020B0502040204020203"/>
    <w:charset w:val="00"/>
    <w:family w:val="auto"/>
    <w:pitch w:val="default"/>
    <w:sig w:usb0="00000003" w:usb1="00000000" w:usb2="4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7"/>
      <w:pBdr>
        <w:bottom w:val="none" w:color="auto" w:sz="0" w:space="0"/>
      </w:pBdr>
      <w:spacing w:line="320" w:lineRule="exact"/>
      <w:jc w:val="left"/>
    </w:pPr>
    <w:r>
      <mc:AlternateContent>
        <mc:Choice Requires="wps">
          <w:drawing>
            <wp:anchor distT="0" distB="0" distL="114300" distR="114300" simplePos="0" relativeHeight="251659264" behindDoc="0" locked="0" layoutInCell="1" allowOverlap="1">
              <wp:simplePos x="0" y="0"/>
              <wp:positionH relativeFrom="column">
                <wp:posOffset>7045325</wp:posOffset>
              </wp:positionH>
              <wp:positionV relativeFrom="paragraph">
                <wp:posOffset>27940</wp:posOffset>
              </wp:positionV>
              <wp:extent cx="2184400" cy="256540"/>
              <wp:effectExtent l="0" t="0" r="0" b="1270"/>
              <wp:wrapNone/>
              <wp:docPr id="2"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184400" cy="256540"/>
                      </a:xfrm>
                      <a:prstGeom prst="rect">
                        <a:avLst/>
                      </a:prstGeom>
                      <a:solidFill>
                        <a:srgbClr val="FFFFFF"/>
                      </a:solidFill>
                      <a:ln>
                        <a:noFill/>
                      </a:ln>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wps:txbx>
                    <wps:bodyPr rot="0" vert="horz" wrap="square" lIns="91440" tIns="45720" rIns="91440" bIns="45720" anchor="t" anchorCtr="0" upright="1">
                      <a:noAutofit/>
                    </wps:bodyPr>
                  </wps:wsp>
                </a:graphicData>
              </a:graphic>
            </wp:anchor>
          </w:drawing>
        </mc:Choice>
        <mc:Fallback>
          <w:pict>
            <v:shape id="文本框 1" o:spid="_x0000_s1026" o:spt="202" type="#_x0000_t202" style="position:absolute;left:0pt;margin-left:554.75pt;margin-top:2.2pt;height:20.2pt;width:172pt;z-index:251659264;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IQaq5dYAAAAKAQAADwAAAAAAAAABACAAAAAiAAAAZHJzL2Rvd25yZXYueG1sUEsBAhQAFAAA&#10;AAgAh07iQNRv0G8qAgAAPgQAAA4AAAAAAAAAAQAgAAAAJQEAAGRycy9lMm9Eb2MueG1sUEsFBgAA&#10;AAAGAAYAWQEAAMEFA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mc:Fallback>
      </mc:AlternateContent>
    </w:r>
    <w:r>
      <w:rPr>
        <w:rStyle w:val="13"/>
        <w:rFonts w:hint="default"/>
        <w:w w:val="90"/>
      </w:rPr>
      <w:t>Beijing International Standard united Certification Co.,Ltd.</w:t>
    </w:r>
  </w:p>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8BD0D8"/>
    <w:multiLevelType w:val="singleLevel"/>
    <w:tmpl w:val="9D8BD0D8"/>
    <w:lvl w:ilvl="0" w:tentative="0">
      <w:start w:val="1"/>
      <w:numFmt w:val="decimal"/>
      <w:suff w:val="nothing"/>
      <w:lvlText w:val="%1、"/>
      <w:lvlJc w:val="left"/>
    </w:lvl>
  </w:abstractNum>
  <w:abstractNum w:abstractNumId="1">
    <w:nsid w:val="618C73AD"/>
    <w:multiLevelType w:val="singleLevel"/>
    <w:tmpl w:val="618C73AD"/>
    <w:lvl w:ilvl="0" w:tentative="0">
      <w:start w:val="1"/>
      <w:numFmt w:val="lowerLetter"/>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B16"/>
    <w:rsid w:val="00003F96"/>
    <w:rsid w:val="000170BD"/>
    <w:rsid w:val="000345CC"/>
    <w:rsid w:val="00046009"/>
    <w:rsid w:val="00053018"/>
    <w:rsid w:val="00065D97"/>
    <w:rsid w:val="00077C88"/>
    <w:rsid w:val="000A75BA"/>
    <w:rsid w:val="000B0CD5"/>
    <w:rsid w:val="000B6409"/>
    <w:rsid w:val="000C60EB"/>
    <w:rsid w:val="000D0735"/>
    <w:rsid w:val="000F14E3"/>
    <w:rsid w:val="00107007"/>
    <w:rsid w:val="00115E0C"/>
    <w:rsid w:val="001311B9"/>
    <w:rsid w:val="001328CC"/>
    <w:rsid w:val="00140940"/>
    <w:rsid w:val="0016284D"/>
    <w:rsid w:val="0018254F"/>
    <w:rsid w:val="001903B6"/>
    <w:rsid w:val="001937C7"/>
    <w:rsid w:val="001B21BB"/>
    <w:rsid w:val="001C57A3"/>
    <w:rsid w:val="001E4CB1"/>
    <w:rsid w:val="001F5453"/>
    <w:rsid w:val="00242225"/>
    <w:rsid w:val="00250001"/>
    <w:rsid w:val="002533F4"/>
    <w:rsid w:val="00287457"/>
    <w:rsid w:val="002E29A0"/>
    <w:rsid w:val="00312ACE"/>
    <w:rsid w:val="0032647E"/>
    <w:rsid w:val="003445A0"/>
    <w:rsid w:val="00351857"/>
    <w:rsid w:val="00363176"/>
    <w:rsid w:val="00382525"/>
    <w:rsid w:val="00384D81"/>
    <w:rsid w:val="003A4ADC"/>
    <w:rsid w:val="003A65C9"/>
    <w:rsid w:val="003B4D38"/>
    <w:rsid w:val="003C254E"/>
    <w:rsid w:val="003C29F6"/>
    <w:rsid w:val="00421FB9"/>
    <w:rsid w:val="004450A7"/>
    <w:rsid w:val="0047490C"/>
    <w:rsid w:val="004819AB"/>
    <w:rsid w:val="00487025"/>
    <w:rsid w:val="004A00EE"/>
    <w:rsid w:val="004D14C1"/>
    <w:rsid w:val="004D6FC5"/>
    <w:rsid w:val="004E1287"/>
    <w:rsid w:val="004E7665"/>
    <w:rsid w:val="00503F34"/>
    <w:rsid w:val="005074C4"/>
    <w:rsid w:val="005077B3"/>
    <w:rsid w:val="00507E17"/>
    <w:rsid w:val="00517BB1"/>
    <w:rsid w:val="00527031"/>
    <w:rsid w:val="00532DE5"/>
    <w:rsid w:val="00554417"/>
    <w:rsid w:val="00567182"/>
    <w:rsid w:val="00580C0C"/>
    <w:rsid w:val="005A009F"/>
    <w:rsid w:val="005A23B2"/>
    <w:rsid w:val="005C1F48"/>
    <w:rsid w:val="005C7135"/>
    <w:rsid w:val="005D2531"/>
    <w:rsid w:val="005D6809"/>
    <w:rsid w:val="00621EA2"/>
    <w:rsid w:val="00621ED3"/>
    <w:rsid w:val="00623DCF"/>
    <w:rsid w:val="006462B7"/>
    <w:rsid w:val="00646303"/>
    <w:rsid w:val="00672093"/>
    <w:rsid w:val="006842EC"/>
    <w:rsid w:val="00684A39"/>
    <w:rsid w:val="006D3EF5"/>
    <w:rsid w:val="006D54AB"/>
    <w:rsid w:val="006F2650"/>
    <w:rsid w:val="00717956"/>
    <w:rsid w:val="00726A91"/>
    <w:rsid w:val="00731191"/>
    <w:rsid w:val="00736C0E"/>
    <w:rsid w:val="007469D5"/>
    <w:rsid w:val="0075560B"/>
    <w:rsid w:val="00760235"/>
    <w:rsid w:val="00761387"/>
    <w:rsid w:val="00772C86"/>
    <w:rsid w:val="00774749"/>
    <w:rsid w:val="00774FF4"/>
    <w:rsid w:val="007861D2"/>
    <w:rsid w:val="00795F4D"/>
    <w:rsid w:val="007A2A5C"/>
    <w:rsid w:val="007B4E33"/>
    <w:rsid w:val="007C5A7D"/>
    <w:rsid w:val="007D7980"/>
    <w:rsid w:val="007E4837"/>
    <w:rsid w:val="007E6050"/>
    <w:rsid w:val="007F353E"/>
    <w:rsid w:val="00802295"/>
    <w:rsid w:val="00804D25"/>
    <w:rsid w:val="00814B16"/>
    <w:rsid w:val="00846A85"/>
    <w:rsid w:val="0085042B"/>
    <w:rsid w:val="00854F40"/>
    <w:rsid w:val="0085791D"/>
    <w:rsid w:val="008631F9"/>
    <w:rsid w:val="00876721"/>
    <w:rsid w:val="008871B0"/>
    <w:rsid w:val="008A1509"/>
    <w:rsid w:val="008B0458"/>
    <w:rsid w:val="008B3B2F"/>
    <w:rsid w:val="008F28A0"/>
    <w:rsid w:val="0090759C"/>
    <w:rsid w:val="0092791F"/>
    <w:rsid w:val="0095064F"/>
    <w:rsid w:val="00955C0E"/>
    <w:rsid w:val="00976860"/>
    <w:rsid w:val="0098154B"/>
    <w:rsid w:val="00982FBF"/>
    <w:rsid w:val="00991AEB"/>
    <w:rsid w:val="009A033E"/>
    <w:rsid w:val="009A2663"/>
    <w:rsid w:val="009B1072"/>
    <w:rsid w:val="009C4BAC"/>
    <w:rsid w:val="009F2155"/>
    <w:rsid w:val="00A60B57"/>
    <w:rsid w:val="00A712F8"/>
    <w:rsid w:val="00A76F84"/>
    <w:rsid w:val="00A94706"/>
    <w:rsid w:val="00AB4ABA"/>
    <w:rsid w:val="00AE6698"/>
    <w:rsid w:val="00AF2C4B"/>
    <w:rsid w:val="00B02208"/>
    <w:rsid w:val="00B27709"/>
    <w:rsid w:val="00B361C1"/>
    <w:rsid w:val="00B528F5"/>
    <w:rsid w:val="00B603BD"/>
    <w:rsid w:val="00B611EA"/>
    <w:rsid w:val="00B6507C"/>
    <w:rsid w:val="00B878F7"/>
    <w:rsid w:val="00B87C75"/>
    <w:rsid w:val="00BB4EA2"/>
    <w:rsid w:val="00BD7D0A"/>
    <w:rsid w:val="00BF3FA7"/>
    <w:rsid w:val="00C10F32"/>
    <w:rsid w:val="00C22DE3"/>
    <w:rsid w:val="00C25B07"/>
    <w:rsid w:val="00C277AC"/>
    <w:rsid w:val="00C41F32"/>
    <w:rsid w:val="00C4272D"/>
    <w:rsid w:val="00C446C9"/>
    <w:rsid w:val="00C827AA"/>
    <w:rsid w:val="00CA1BE3"/>
    <w:rsid w:val="00CD58BC"/>
    <w:rsid w:val="00CE7D9A"/>
    <w:rsid w:val="00D05DB2"/>
    <w:rsid w:val="00D0645E"/>
    <w:rsid w:val="00D25B37"/>
    <w:rsid w:val="00D2627C"/>
    <w:rsid w:val="00D5135E"/>
    <w:rsid w:val="00D6037A"/>
    <w:rsid w:val="00D71D1E"/>
    <w:rsid w:val="00DA0199"/>
    <w:rsid w:val="00DE2FCE"/>
    <w:rsid w:val="00DE32D5"/>
    <w:rsid w:val="00DF19AB"/>
    <w:rsid w:val="00E0114F"/>
    <w:rsid w:val="00E0696C"/>
    <w:rsid w:val="00E17655"/>
    <w:rsid w:val="00E24A7C"/>
    <w:rsid w:val="00E556FE"/>
    <w:rsid w:val="00E65C16"/>
    <w:rsid w:val="00E70A7E"/>
    <w:rsid w:val="00E8072F"/>
    <w:rsid w:val="00E944DC"/>
    <w:rsid w:val="00E97654"/>
    <w:rsid w:val="00EA565B"/>
    <w:rsid w:val="00EB18E7"/>
    <w:rsid w:val="00EB1A5C"/>
    <w:rsid w:val="00EB6AAC"/>
    <w:rsid w:val="00EC2FC9"/>
    <w:rsid w:val="00ED41DC"/>
    <w:rsid w:val="00EE2AA1"/>
    <w:rsid w:val="00EF7E6D"/>
    <w:rsid w:val="00F01F3E"/>
    <w:rsid w:val="00F07291"/>
    <w:rsid w:val="00F13731"/>
    <w:rsid w:val="00F27A9C"/>
    <w:rsid w:val="00F34968"/>
    <w:rsid w:val="00F43CC1"/>
    <w:rsid w:val="00F5455B"/>
    <w:rsid w:val="00F57698"/>
    <w:rsid w:val="00F62C59"/>
    <w:rsid w:val="00FB5026"/>
    <w:rsid w:val="00FB6FAA"/>
    <w:rsid w:val="00FD4652"/>
    <w:rsid w:val="00FE6FD8"/>
    <w:rsid w:val="00FF0A51"/>
    <w:rsid w:val="016866D2"/>
    <w:rsid w:val="0192472C"/>
    <w:rsid w:val="03D21E03"/>
    <w:rsid w:val="03F143CF"/>
    <w:rsid w:val="05305A31"/>
    <w:rsid w:val="08D61FD9"/>
    <w:rsid w:val="092B22DB"/>
    <w:rsid w:val="098532C9"/>
    <w:rsid w:val="0B41409E"/>
    <w:rsid w:val="10620B9A"/>
    <w:rsid w:val="12033FE0"/>
    <w:rsid w:val="12C7719E"/>
    <w:rsid w:val="13FE21BB"/>
    <w:rsid w:val="16C745D4"/>
    <w:rsid w:val="177875C4"/>
    <w:rsid w:val="188D3852"/>
    <w:rsid w:val="189D4A35"/>
    <w:rsid w:val="1FDC67E8"/>
    <w:rsid w:val="21F3021E"/>
    <w:rsid w:val="245C73C3"/>
    <w:rsid w:val="24773C1A"/>
    <w:rsid w:val="28005944"/>
    <w:rsid w:val="29AB033B"/>
    <w:rsid w:val="2F33129F"/>
    <w:rsid w:val="36D777A7"/>
    <w:rsid w:val="374D126F"/>
    <w:rsid w:val="37A76D3C"/>
    <w:rsid w:val="37CF3D7A"/>
    <w:rsid w:val="38751706"/>
    <w:rsid w:val="388B530D"/>
    <w:rsid w:val="3A9A28F7"/>
    <w:rsid w:val="3ED63675"/>
    <w:rsid w:val="42575A75"/>
    <w:rsid w:val="4874509D"/>
    <w:rsid w:val="4A82507A"/>
    <w:rsid w:val="4FAF442F"/>
    <w:rsid w:val="50FC7447"/>
    <w:rsid w:val="52797284"/>
    <w:rsid w:val="537875A9"/>
    <w:rsid w:val="553716BC"/>
    <w:rsid w:val="591A6136"/>
    <w:rsid w:val="5A4E7B3C"/>
    <w:rsid w:val="5A6E45CB"/>
    <w:rsid w:val="5C153C2B"/>
    <w:rsid w:val="5C330415"/>
    <w:rsid w:val="5D0352C4"/>
    <w:rsid w:val="5E0C17F2"/>
    <w:rsid w:val="5E424FE6"/>
    <w:rsid w:val="5F0C2ACD"/>
    <w:rsid w:val="66EF4B93"/>
    <w:rsid w:val="68835B20"/>
    <w:rsid w:val="68C465EE"/>
    <w:rsid w:val="699461CD"/>
    <w:rsid w:val="6A9E0739"/>
    <w:rsid w:val="714A3854"/>
    <w:rsid w:val="733C5DEC"/>
    <w:rsid w:val="73E54F34"/>
    <w:rsid w:val="751B4ACA"/>
    <w:rsid w:val="76176F79"/>
    <w:rsid w:val="778B4551"/>
    <w:rsid w:val="7825086A"/>
    <w:rsid w:val="7A210E3C"/>
    <w:rsid w:val="7A7362C2"/>
    <w:rsid w:val="7E0E144E"/>
    <w:rsid w:val="7ED23CD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qFormat/>
    <w:uiPriority w:val="0"/>
    <w:pPr>
      <w:keepNext/>
      <w:spacing w:line="400" w:lineRule="atLeast"/>
      <w:jc w:val="center"/>
      <w:outlineLvl w:val="1"/>
    </w:pPr>
    <w:rPr>
      <w:spacing w:val="8"/>
      <w:sz w:val="36"/>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4">
    <w:name w:val="Body Text"/>
    <w:basedOn w:val="1"/>
    <w:qFormat/>
    <w:uiPriority w:val="0"/>
    <w:pPr>
      <w:spacing w:line="312" w:lineRule="auto"/>
    </w:pPr>
    <w:rPr>
      <w:rFonts w:ascii="Arial" w:hAnsi="Arial" w:eastAsia="楷体_GB2312"/>
      <w:spacing w:val="20"/>
      <w:sz w:val="24"/>
      <w:szCs w:val="20"/>
    </w:rPr>
  </w:style>
  <w:style w:type="paragraph" w:styleId="5">
    <w:name w:val="Balloon Text"/>
    <w:basedOn w:val="1"/>
    <w:link w:val="12"/>
    <w:semiHidden/>
    <w:unhideWhenUsed/>
    <w:qFormat/>
    <w:uiPriority w:val="99"/>
    <w:rPr>
      <w:sz w:val="18"/>
      <w:szCs w:val="18"/>
    </w:rPr>
  </w:style>
  <w:style w:type="paragraph" w:styleId="6">
    <w:name w:val="footer"/>
    <w:basedOn w:val="1"/>
    <w:link w:val="11"/>
    <w:unhideWhenUsed/>
    <w:qFormat/>
    <w:uiPriority w:val="99"/>
    <w:pPr>
      <w:tabs>
        <w:tab w:val="center" w:pos="4153"/>
        <w:tab w:val="right" w:pos="8306"/>
      </w:tabs>
      <w:snapToGrid w:val="0"/>
      <w:jc w:val="left"/>
    </w:pPr>
    <w:rPr>
      <w:sz w:val="18"/>
      <w:szCs w:val="18"/>
    </w:rPr>
  </w:style>
  <w:style w:type="paragraph" w:styleId="7">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10">
    <w:name w:val="页眉 字符"/>
    <w:basedOn w:val="9"/>
    <w:link w:val="7"/>
    <w:qFormat/>
    <w:uiPriority w:val="99"/>
    <w:rPr>
      <w:rFonts w:ascii="Times New Roman" w:hAnsi="Times New Roman" w:eastAsia="宋体" w:cs="Times New Roman"/>
      <w:sz w:val="18"/>
      <w:szCs w:val="18"/>
    </w:rPr>
  </w:style>
  <w:style w:type="character" w:customStyle="1" w:styleId="11">
    <w:name w:val="页脚 字符"/>
    <w:basedOn w:val="9"/>
    <w:link w:val="6"/>
    <w:qFormat/>
    <w:uiPriority w:val="99"/>
    <w:rPr>
      <w:rFonts w:ascii="Times New Roman" w:hAnsi="Times New Roman" w:eastAsia="宋体" w:cs="Times New Roman"/>
      <w:sz w:val="18"/>
      <w:szCs w:val="18"/>
    </w:rPr>
  </w:style>
  <w:style w:type="character" w:customStyle="1" w:styleId="12">
    <w:name w:val="批注框文本 字符"/>
    <w:basedOn w:val="9"/>
    <w:link w:val="5"/>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customStyle="1" w:styleId="14">
    <w:name w:val="Char"/>
    <w:basedOn w:val="1"/>
    <w:qFormat/>
    <w:uiPriority w:val="0"/>
    <w:rPr>
      <w:rFonts w:ascii="仿宋_GB2312" w:eastAsia="仿宋_GB2312"/>
      <w:b/>
      <w:sz w:val="32"/>
      <w:szCs w:val="32"/>
    </w:rPr>
  </w:style>
  <w:style w:type="paragraph" w:styleId="15">
    <w:name w:val="List Paragraph"/>
    <w:basedOn w:val="1"/>
    <w:qFormat/>
    <w:uiPriority w:val="99"/>
    <w:pPr>
      <w:ind w:firstLine="420" w:firstLineChars="200"/>
    </w:pPr>
  </w:style>
  <w:style w:type="paragraph" w:customStyle="1" w:styleId="16">
    <w:name w:val="表格文字"/>
    <w:basedOn w:val="1"/>
    <w:qFormat/>
    <w:uiPriority w:val="0"/>
    <w:pPr>
      <w:spacing w:before="25" w:after="25"/>
    </w:pPr>
    <w:rPr>
      <w:bCs/>
      <w:spacing w:val="1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1317</Words>
  <Characters>7508</Characters>
  <Lines>62</Lines>
  <Paragraphs>17</Paragraphs>
  <TotalTime>12</TotalTime>
  <ScaleCrop>false</ScaleCrop>
  <LinksUpToDate>false</LinksUpToDate>
  <CharactersWithSpaces>8808</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2020-04-19T01:59:00Z</dcterms:created>
  <dc:creator>微软用户</dc:creator>
  <cp:lastModifiedBy>森林</cp:lastModifiedBy>
  <dcterms:modified xsi:type="dcterms:W3CDTF">2021-09-09T09:33:22Z</dcterms:modified>
  <cp:revision>210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C700A6829B2D478D96FDAAD551C68177</vt:lpwstr>
  </property>
</Properties>
</file>