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947"/>
        <w:gridCol w:w="9875"/>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3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47" w:type="dxa"/>
            <w:vMerge w:val="restart"/>
            <w:vAlign w:val="center"/>
          </w:tcPr>
          <w:p>
            <w:pPr>
              <w:rPr>
                <w:sz w:val="24"/>
                <w:szCs w:val="24"/>
              </w:rPr>
            </w:pPr>
            <w:r>
              <w:rPr>
                <w:rFonts w:hint="eastAsia"/>
                <w:sz w:val="24"/>
                <w:szCs w:val="24"/>
              </w:rPr>
              <w:t>涉及</w:t>
            </w:r>
          </w:p>
          <w:p>
            <w:r>
              <w:rPr>
                <w:rFonts w:hint="eastAsia"/>
                <w:sz w:val="24"/>
                <w:szCs w:val="24"/>
              </w:rPr>
              <w:t>条款</w:t>
            </w:r>
          </w:p>
        </w:tc>
        <w:tc>
          <w:tcPr>
            <w:tcW w:w="9875" w:type="dxa"/>
            <w:vAlign w:val="center"/>
          </w:tcPr>
          <w:p>
            <w:pPr>
              <w:rPr>
                <w:sz w:val="24"/>
                <w:szCs w:val="24"/>
              </w:rPr>
            </w:pPr>
            <w:r>
              <w:rPr>
                <w:rFonts w:hint="eastAsia"/>
                <w:sz w:val="24"/>
                <w:szCs w:val="24"/>
              </w:rPr>
              <w:t>受审核部门</w:t>
            </w:r>
            <w:r>
              <w:rPr>
                <w:rFonts w:hint="eastAsia"/>
                <w:sz w:val="24"/>
                <w:szCs w:val="24"/>
                <w:lang w:eastAsia="zh-CN"/>
              </w:rPr>
              <w:t>：</w:t>
            </w:r>
            <w:r>
              <w:rPr>
                <w:rFonts w:hint="eastAsia"/>
                <w:sz w:val="24"/>
                <w:szCs w:val="24"/>
                <w:lang w:val="en-US" w:eastAsia="zh-CN"/>
              </w:rPr>
              <w:t xml:space="preserve">管理层              </w:t>
            </w:r>
            <w:r>
              <w:rPr>
                <w:rFonts w:hint="eastAsia"/>
                <w:sz w:val="24"/>
                <w:szCs w:val="24"/>
              </w:rPr>
              <w:t>主管领导：</w:t>
            </w:r>
            <w:bookmarkStart w:id="0" w:name="管理者代表"/>
            <w:r>
              <w:rPr>
                <w:rFonts w:hint="eastAsia"/>
                <w:sz w:val="24"/>
                <w:szCs w:val="24"/>
              </w:rPr>
              <w:t>腾志武</w:t>
            </w:r>
            <w:bookmarkEnd w:id="0"/>
            <w:r>
              <w:rPr>
                <w:rFonts w:hint="eastAsia"/>
                <w:sz w:val="24"/>
                <w:szCs w:val="24"/>
              </w:rPr>
              <w:t xml:space="preserve"> </w:t>
            </w:r>
            <w:r>
              <w:rPr>
                <w:rFonts w:hint="eastAsia"/>
                <w:sz w:val="24"/>
                <w:szCs w:val="24"/>
                <w:lang w:eastAsia="zh-CN"/>
              </w:rPr>
              <w:t>邵蒙</w:t>
            </w:r>
            <w:r>
              <w:rPr>
                <w:sz w:val="24"/>
                <w:szCs w:val="24"/>
              </w:rPr>
              <w:t xml:space="preserve">     </w:t>
            </w:r>
            <w:r>
              <w:rPr>
                <w:rFonts w:hint="eastAsia"/>
                <w:sz w:val="24"/>
                <w:szCs w:val="24"/>
              </w:rPr>
              <w:t xml:space="preserve">陪同人员：魏秀成 </w:t>
            </w:r>
          </w:p>
        </w:tc>
        <w:tc>
          <w:tcPr>
            <w:tcW w:w="156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132" w:type="dxa"/>
            <w:vMerge w:val="continue"/>
            <w:vAlign w:val="center"/>
          </w:tcPr>
          <w:p/>
        </w:tc>
        <w:tc>
          <w:tcPr>
            <w:tcW w:w="947" w:type="dxa"/>
            <w:vMerge w:val="continue"/>
            <w:vAlign w:val="center"/>
          </w:tcPr>
          <w:p/>
        </w:tc>
        <w:tc>
          <w:tcPr>
            <w:tcW w:w="9875" w:type="dxa"/>
            <w:vAlign w:val="center"/>
          </w:tcPr>
          <w:p>
            <w:pPr>
              <w:spacing w:before="120"/>
            </w:pPr>
            <w:r>
              <w:rPr>
                <w:rFonts w:hint="eastAsia"/>
                <w:sz w:val="24"/>
                <w:szCs w:val="24"/>
              </w:rPr>
              <w:t>审核员：</w:t>
            </w:r>
            <w:bookmarkStart w:id="1" w:name="审核组成员不含组长"/>
            <w:bookmarkEnd w:id="1"/>
            <w:r>
              <w:rPr>
                <w:rFonts w:hint="eastAsia"/>
                <w:sz w:val="24"/>
                <w:szCs w:val="24"/>
                <w:lang w:val="en-US" w:eastAsia="zh-CN"/>
              </w:rPr>
              <w:t>汪桂丽</w:t>
            </w:r>
            <w:r>
              <w:rPr>
                <w:rFonts w:hint="eastAsia"/>
                <w:sz w:val="24"/>
                <w:szCs w:val="24"/>
              </w:rPr>
              <w:t xml:space="preserve"> </w:t>
            </w:r>
            <w:r>
              <w:rPr>
                <w:sz w:val="24"/>
                <w:szCs w:val="24"/>
              </w:rPr>
              <w:t xml:space="preserve">             </w:t>
            </w:r>
            <w:r>
              <w:rPr>
                <w:rFonts w:hint="eastAsia"/>
                <w:sz w:val="24"/>
                <w:szCs w:val="24"/>
                <w:lang w:val="en-US" w:eastAsia="zh-CN"/>
              </w:rPr>
              <w:t xml:space="preserve">         </w:t>
            </w:r>
            <w:r>
              <w:rPr>
                <w:rFonts w:hint="eastAsia"/>
                <w:sz w:val="24"/>
                <w:szCs w:val="24"/>
              </w:rPr>
              <w:t>审核时间：</w:t>
            </w:r>
            <w:bookmarkStart w:id="2" w:name="审核日期"/>
            <w:r>
              <w:t xml:space="preserve">2021年09月11日 </w:t>
            </w:r>
            <w:r>
              <w:rPr>
                <w:rFonts w:hint="eastAsia"/>
                <w:lang w:val="en-US" w:eastAsia="zh-CN"/>
              </w:rPr>
              <w:t xml:space="preserve"> 上</w:t>
            </w:r>
            <w:r>
              <w:t>午</w:t>
            </w:r>
            <w:bookmarkEnd w:id="2"/>
          </w:p>
        </w:tc>
        <w:tc>
          <w:tcPr>
            <w:tcW w:w="156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2132" w:type="dxa"/>
            <w:vMerge w:val="continue"/>
            <w:vAlign w:val="center"/>
          </w:tcPr>
          <w:p/>
        </w:tc>
        <w:tc>
          <w:tcPr>
            <w:tcW w:w="947" w:type="dxa"/>
            <w:vMerge w:val="continue"/>
            <w:vAlign w:val="center"/>
          </w:tcPr>
          <w:p/>
        </w:tc>
        <w:tc>
          <w:tcPr>
            <w:tcW w:w="9875" w:type="dxa"/>
            <w:vAlign w:val="center"/>
          </w:tcPr>
          <w:p>
            <w:pPr>
              <w:adjustRightInd w:val="0"/>
              <w:snapToGrid w:val="0"/>
              <w:ind w:right="105" w:rightChars="50"/>
              <w:jc w:val="left"/>
              <w:textAlignment w:val="baseline"/>
              <w:rPr>
                <w:rFonts w:hint="eastAsia"/>
              </w:rPr>
            </w:pPr>
            <w:r>
              <w:rPr>
                <w:rFonts w:hint="eastAsia"/>
              </w:rPr>
              <w:t>审核条款：涉及标准条款：Q:4.1理解组织及其环境、4.2理解相关方的需求和期望、4.3 确定管理体系的范围、4.4质量管理体系及其过程、5.2质量方针、5.3组织的岗位、职责和权限、6.1应对风险和机遇的措施、6.2质量目标及其实现的策划、6.3变更的策划、7.4沟通</w:t>
            </w:r>
            <w:r>
              <w:rPr>
                <w:rFonts w:hint="eastAsia"/>
                <w:lang w:eastAsia="zh-CN"/>
              </w:rPr>
              <w:t>、</w:t>
            </w:r>
            <w:r>
              <w:rPr>
                <w:rFonts w:hint="eastAsia"/>
                <w:lang w:val="en-US" w:eastAsia="zh-CN"/>
              </w:rPr>
              <w:t>7</w:t>
            </w:r>
            <w:r>
              <w:rPr>
                <w:rFonts w:hint="eastAsia"/>
              </w:rPr>
              <w:t>.</w:t>
            </w:r>
            <w:r>
              <w:rPr>
                <w:rFonts w:hint="eastAsia"/>
                <w:lang w:val="en-US" w:eastAsia="zh-CN"/>
              </w:rPr>
              <w:t>5</w:t>
            </w:r>
            <w:r>
              <w:rPr>
                <w:rFonts w:hint="eastAsia"/>
              </w:rPr>
              <w:t>.</w:t>
            </w:r>
            <w:r>
              <w:rPr>
                <w:rFonts w:hint="eastAsia"/>
                <w:lang w:val="en-US" w:eastAsia="zh-CN"/>
              </w:rPr>
              <w:t>2</w:t>
            </w:r>
            <w:r>
              <w:rPr>
                <w:rFonts w:hint="eastAsia"/>
              </w:rPr>
              <w:t>创建和更新</w:t>
            </w:r>
            <w:r>
              <w:rPr>
                <w:rFonts w:hint="eastAsia"/>
                <w:lang w:val="en-US" w:eastAsia="zh-CN"/>
              </w:rPr>
              <w:t xml:space="preserve">  </w:t>
            </w:r>
            <w:r>
              <w:rPr>
                <w:rFonts w:hint="eastAsia"/>
              </w:rPr>
              <w:t>9.1.1</w:t>
            </w:r>
            <w:r>
              <w:rPr>
                <w:rFonts w:hint="eastAsia"/>
                <w:lang w:eastAsia="zh-CN"/>
              </w:rPr>
              <w:t>监视测量分析和评价</w:t>
            </w:r>
            <w:r>
              <w:rPr>
                <w:rFonts w:hint="eastAsia"/>
                <w:lang w:val="en-US" w:eastAsia="zh-CN"/>
              </w:rPr>
              <w:t>总则</w:t>
            </w:r>
            <w:r>
              <w:rPr>
                <w:rFonts w:hint="eastAsia"/>
                <w:lang w:eastAsia="zh-CN"/>
              </w:rPr>
              <w:t>、</w:t>
            </w:r>
            <w:r>
              <w:rPr>
                <w:rFonts w:hint="eastAsia"/>
              </w:rPr>
              <w:t>9.1.3</w:t>
            </w:r>
            <w:r>
              <w:rPr>
                <w:rFonts w:hint="eastAsia"/>
                <w:lang w:val="en-US" w:eastAsia="zh-CN"/>
              </w:rPr>
              <w:t>分析和评价，</w:t>
            </w:r>
            <w:r>
              <w:rPr>
                <w:rFonts w:hint="eastAsia"/>
              </w:rPr>
              <w:t>9.</w:t>
            </w:r>
            <w:r>
              <w:rPr>
                <w:rFonts w:hint="eastAsia"/>
                <w:lang w:val="en-US" w:eastAsia="zh-CN"/>
              </w:rPr>
              <w:t>2内部审核</w:t>
            </w:r>
            <w:r>
              <w:rPr>
                <w:rFonts w:hint="eastAsia"/>
              </w:rPr>
              <w:t>、9.3管理评审、10.3持续改进；</w:t>
            </w:r>
          </w:p>
          <w:p>
            <w:pPr>
              <w:adjustRightInd w:val="0"/>
              <w:snapToGrid w:val="0"/>
              <w:ind w:right="105" w:rightChars="50"/>
              <w:jc w:val="left"/>
              <w:textAlignment w:val="baseline"/>
              <w:rPr>
                <w:rFonts w:hint="eastAsia" w:ascii="宋体" w:hAnsi="宋体"/>
                <w:b w:val="0"/>
                <w:bCs w:val="0"/>
                <w:sz w:val="21"/>
                <w:szCs w:val="21"/>
              </w:rPr>
            </w:pPr>
            <w:r>
              <w:rPr>
                <w:rFonts w:hint="eastAsia"/>
              </w:rPr>
              <w:t>资质验证、顾客投诉、</w:t>
            </w:r>
            <w:r>
              <w:rPr>
                <w:rFonts w:hint="eastAsia"/>
                <w:lang w:val="en-US" w:eastAsia="zh-CN"/>
              </w:rPr>
              <w:t>问题验证、</w:t>
            </w:r>
            <w:r>
              <w:rPr>
                <w:rFonts w:hint="eastAsia"/>
              </w:rPr>
              <w:t>上级抽查情况、证书使用情况、遵纪守法情况等</w:t>
            </w:r>
          </w:p>
        </w:tc>
        <w:tc>
          <w:tcPr>
            <w:tcW w:w="156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132"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理解组织及其环境</w:t>
            </w: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kern w:val="2"/>
                <w:sz w:val="24"/>
                <w:szCs w:val="24"/>
                <w:lang w:val="en-US" w:eastAsia="zh-CN" w:bidi="ar-SA"/>
              </w:rPr>
            </w:pPr>
          </w:p>
        </w:tc>
        <w:tc>
          <w:tcPr>
            <w:tcW w:w="947"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4.1</w:t>
            </w:r>
          </w:p>
          <w:p>
            <w:pPr>
              <w:spacing w:line="280" w:lineRule="exact"/>
              <w:rPr>
                <w:rFonts w:cs="宋体" w:asciiTheme="minorEastAsia" w:hAnsiTheme="minorEastAsia" w:eastAsiaTheme="minorEastAsia"/>
                <w:kern w:val="2"/>
                <w:sz w:val="24"/>
                <w:szCs w:val="24"/>
                <w:lang w:val="en-US" w:eastAsia="zh-CN" w:bidi="ar-SA"/>
              </w:rPr>
            </w:pPr>
          </w:p>
        </w:tc>
        <w:tc>
          <w:tcPr>
            <w:tcW w:w="9875" w:type="dxa"/>
            <w:vAlign w:val="center"/>
          </w:tcPr>
          <w:p>
            <w:pPr>
              <w:spacing w:line="24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公司高层领导，总经理：</w:t>
            </w:r>
            <w:r>
              <w:rPr>
                <w:rFonts w:hint="eastAsia" w:cs="宋体" w:asciiTheme="minorEastAsia" w:hAnsiTheme="minorEastAsia" w:eastAsiaTheme="minorEastAsia"/>
                <w:szCs w:val="21"/>
                <w:lang w:eastAsia="zh-CN"/>
              </w:rPr>
              <w:t>腾志武</w:t>
            </w:r>
            <w:r>
              <w:rPr>
                <w:rFonts w:hint="eastAsia" w:cs="宋体" w:asciiTheme="minorEastAsia" w:hAnsiTheme="minorEastAsia" w:eastAsiaTheme="minorEastAsia"/>
                <w:color w:val="FF0000"/>
                <w:szCs w:val="21"/>
              </w:rPr>
              <w:t xml:space="preserve"> </w:t>
            </w:r>
            <w:r>
              <w:rPr>
                <w:rFonts w:hint="eastAsia" w:cs="宋体" w:asciiTheme="minorEastAsia" w:hAnsiTheme="minorEastAsia" w:eastAsiaTheme="minorEastAsia"/>
                <w:szCs w:val="21"/>
              </w:rPr>
              <w:t xml:space="preserve"> 管者代表：</w:t>
            </w:r>
            <w:r>
              <w:rPr>
                <w:rFonts w:hint="eastAsia" w:cs="宋体" w:asciiTheme="minorEastAsia" w:hAnsiTheme="minorEastAsia" w:eastAsiaTheme="minorEastAsia"/>
                <w:szCs w:val="21"/>
                <w:lang w:eastAsia="zh-CN"/>
              </w:rPr>
              <w:t>邵蒙</w:t>
            </w:r>
            <w:r>
              <w:rPr>
                <w:rFonts w:hint="eastAsia" w:cs="宋体" w:asciiTheme="minorEastAsia" w:hAnsiTheme="minorEastAsia" w:eastAsiaTheme="minorEastAsia"/>
                <w:szCs w:val="21"/>
              </w:rPr>
              <w:t>。</w:t>
            </w:r>
          </w:p>
          <w:p>
            <w:pPr>
              <w:spacing w:line="24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提供营业执照在有效期内，地址和实际一致，包含认证范围，</w:t>
            </w:r>
            <w:r>
              <w:rPr>
                <w:rFonts w:hint="eastAsia" w:cs="宋体" w:asciiTheme="minorEastAsia" w:hAnsiTheme="minorEastAsia" w:eastAsiaTheme="minorEastAsia"/>
                <w:szCs w:val="21"/>
                <w:lang w:val="en-US" w:eastAsia="zh-CN"/>
              </w:rPr>
              <w:t>有畜禽定点屠宰证，2021.11.21日到期</w:t>
            </w:r>
            <w:r>
              <w:rPr>
                <w:rFonts w:hint="eastAsia" w:cs="宋体" w:asciiTheme="minorEastAsia" w:hAnsiTheme="minorEastAsia" w:eastAsiaTheme="minorEastAsia"/>
                <w:szCs w:val="21"/>
              </w:rPr>
              <w:t>。</w:t>
            </w:r>
          </w:p>
          <w:p>
            <w:pPr>
              <w:spacing w:line="24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认证范围确定为：</w:t>
            </w:r>
          </w:p>
          <w:p>
            <w:pPr>
              <w:spacing w:line="240" w:lineRule="auto"/>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Q：</w:t>
            </w:r>
            <w:bookmarkStart w:id="3" w:name="审核范围"/>
            <w:r>
              <w:rPr>
                <w:rFonts w:hint="eastAsia" w:cs="宋体" w:asciiTheme="minorEastAsia" w:hAnsiTheme="minorEastAsia" w:eastAsiaTheme="minorEastAsia"/>
                <w:szCs w:val="21"/>
              </w:rPr>
              <w:t>羊肉、猪肉的加工（限许可范围内）、冷藏、销售</w:t>
            </w:r>
            <w:bookmarkEnd w:id="3"/>
          </w:p>
          <w:p>
            <w:pPr>
              <w:spacing w:line="24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管理体系设置了管理层、办公室、</w:t>
            </w:r>
            <w:r>
              <w:rPr>
                <w:rFonts w:hint="eastAsia" w:cs="宋体" w:asciiTheme="minorEastAsia" w:hAnsiTheme="minorEastAsia" w:eastAsiaTheme="minorEastAsia"/>
                <w:szCs w:val="21"/>
                <w:lang w:eastAsia="zh-CN"/>
              </w:rPr>
              <w:t>供销部</w:t>
            </w:r>
            <w:r>
              <w:rPr>
                <w:rFonts w:hint="eastAsia" w:cs="宋体" w:asciiTheme="minorEastAsia" w:hAnsiTheme="minorEastAsia" w:eastAsiaTheme="minorEastAsia"/>
                <w:szCs w:val="21"/>
              </w:rPr>
              <w:t>、生产部</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质管部，</w:t>
            </w:r>
            <w:r>
              <w:rPr>
                <w:rFonts w:hint="eastAsia" w:cs="宋体" w:asciiTheme="minorEastAsia" w:hAnsiTheme="minorEastAsia" w:eastAsiaTheme="minorEastAsia"/>
                <w:szCs w:val="21"/>
              </w:rPr>
              <w:t>各部门职责已确定并在手册中明确、发布、实施。</w:t>
            </w:r>
          </w:p>
          <w:p>
            <w:pPr>
              <w:spacing w:line="24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认证主管部门：办公室</w:t>
            </w:r>
          </w:p>
          <w:p>
            <w:pPr>
              <w:spacing w:line="24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管理者代表：</w:t>
            </w:r>
            <w:bookmarkStart w:id="4" w:name="_GoBack"/>
            <w:bookmarkEnd w:id="4"/>
            <w:r>
              <w:rPr>
                <w:rFonts w:hint="eastAsia" w:cs="宋体" w:asciiTheme="minorEastAsia" w:hAnsiTheme="minorEastAsia" w:eastAsiaTheme="minorEastAsia"/>
                <w:szCs w:val="21"/>
                <w:lang w:eastAsia="zh-CN"/>
              </w:rPr>
              <w:t>邵蒙</w:t>
            </w:r>
            <w:r>
              <w:rPr>
                <w:rFonts w:hint="eastAsia" w:cs="宋体" w:asciiTheme="minorEastAsia" w:hAnsiTheme="minorEastAsia" w:eastAsiaTheme="minorEastAsia"/>
                <w:szCs w:val="21"/>
              </w:rPr>
              <w:t>；</w:t>
            </w:r>
          </w:p>
          <w:p>
            <w:pPr>
              <w:spacing w:line="240" w:lineRule="auto"/>
              <w:ind w:firstLine="420" w:firstLineChars="200"/>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Cs w:val="21"/>
              </w:rPr>
              <w:t>总经理确定与公司管理目标和战略方向相关并影响实现管理体系预期结果的各种内部因素（公司的价值观、文化、知识、绩效等相关因素）和外部因素（国家、地区和当地的各种法律法规、技术、竞争、文化和社会因素等）。这些因素包括了需要考虑的正面和负面因素或条件。公司</w:t>
            </w:r>
            <w:r>
              <w:rPr>
                <w:rFonts w:hint="eastAsia" w:cs="宋体" w:asciiTheme="minorEastAsia" w:hAnsiTheme="minorEastAsia" w:eastAsiaTheme="minorEastAsia"/>
                <w:szCs w:val="21"/>
                <w:lang w:eastAsia="zh-CN"/>
              </w:rPr>
              <w:t>供销部</w:t>
            </w:r>
            <w:r>
              <w:rPr>
                <w:rFonts w:hint="eastAsia" w:cs="宋体" w:asciiTheme="minorEastAsia" w:hAnsiTheme="minorEastAsia" w:eastAsiaTheme="minorEastAsia"/>
                <w:szCs w:val="21"/>
              </w:rPr>
              <w:t>根据公司销售等外出人员从市场、客户、网络等搜集到的信息并结合公司自身业务运作情况进行分析，通过分析对这些内部和外部因素的相关信息进行监视和评审以确保其充分和适宜。</w:t>
            </w:r>
          </w:p>
        </w:tc>
        <w:tc>
          <w:tcPr>
            <w:tcW w:w="1564"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132"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理解相关方的需求和期望</w:t>
            </w:r>
          </w:p>
          <w:p>
            <w:pPr>
              <w:spacing w:line="280" w:lineRule="exact"/>
              <w:rPr>
                <w:rFonts w:cs="宋体" w:asciiTheme="minorEastAsia" w:hAnsiTheme="minorEastAsia" w:eastAsiaTheme="minorEastAsia"/>
                <w:kern w:val="2"/>
                <w:sz w:val="24"/>
                <w:szCs w:val="24"/>
                <w:lang w:val="en-US" w:eastAsia="zh-CN" w:bidi="ar-SA"/>
              </w:rPr>
            </w:pPr>
          </w:p>
        </w:tc>
        <w:tc>
          <w:tcPr>
            <w:tcW w:w="947" w:type="dxa"/>
            <w:vAlign w:val="top"/>
          </w:tcPr>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4.2</w:t>
            </w:r>
          </w:p>
          <w:p>
            <w:pPr>
              <w:spacing w:line="280" w:lineRule="exact"/>
              <w:rPr>
                <w:rFonts w:cs="宋体" w:asciiTheme="minorEastAsia" w:hAnsiTheme="minorEastAsia" w:eastAsiaTheme="minorEastAsia"/>
                <w:kern w:val="2"/>
                <w:sz w:val="24"/>
                <w:szCs w:val="24"/>
                <w:lang w:val="en-US" w:eastAsia="zh-CN" w:bidi="ar-SA"/>
              </w:rPr>
            </w:pPr>
          </w:p>
        </w:tc>
        <w:tc>
          <w:tcPr>
            <w:tcW w:w="9875" w:type="dxa"/>
            <w:vAlign w:val="center"/>
          </w:tcPr>
          <w:p>
            <w:pPr>
              <w:spacing w:line="24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为此确定了：与管理体系有关的相关方，公司特别是关注外部供方和顾客；这些相关方的要求；这些要求和期望中哪些会成为合规义务，公司对这些相关方及其要求的相关信息进行监视和评审，以便于理解和持续满足相关方的需求和期望。</w:t>
            </w:r>
          </w:p>
          <w:p>
            <w:pPr>
              <w:spacing w:line="240" w:lineRule="auto"/>
              <w:ind w:firstLine="420" w:firstLineChars="200"/>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Cs w:val="21"/>
              </w:rPr>
              <w:t>公司理解相关方的需求和期望，建立了管理方针和目标并分解落实，以满足相关方的要求并争取做到更高的期望值。</w:t>
            </w:r>
          </w:p>
        </w:tc>
        <w:tc>
          <w:tcPr>
            <w:tcW w:w="1564"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132"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确定管理体系的范围</w:t>
            </w:r>
          </w:p>
          <w:p>
            <w:pPr>
              <w:spacing w:line="280" w:lineRule="exact"/>
              <w:rPr>
                <w:rFonts w:cs="宋体" w:asciiTheme="minorEastAsia" w:hAnsiTheme="minorEastAsia" w:eastAsiaTheme="minorEastAsia"/>
                <w:kern w:val="2"/>
                <w:sz w:val="24"/>
                <w:szCs w:val="24"/>
                <w:lang w:val="en-US" w:eastAsia="zh-CN" w:bidi="ar-SA"/>
              </w:rPr>
            </w:pPr>
          </w:p>
        </w:tc>
        <w:tc>
          <w:tcPr>
            <w:tcW w:w="947"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4.3</w:t>
            </w:r>
          </w:p>
          <w:p>
            <w:pPr>
              <w:spacing w:line="280" w:lineRule="exact"/>
              <w:rPr>
                <w:rFonts w:cs="宋体" w:asciiTheme="minorEastAsia" w:hAnsiTheme="minorEastAsia" w:eastAsiaTheme="minorEastAsia"/>
                <w:kern w:val="2"/>
                <w:sz w:val="24"/>
                <w:szCs w:val="24"/>
                <w:lang w:val="en-US" w:eastAsia="zh-CN" w:bidi="ar-SA"/>
              </w:rPr>
            </w:pPr>
          </w:p>
        </w:tc>
        <w:tc>
          <w:tcPr>
            <w:tcW w:w="9875"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确定管理体系范围时考虑内容：各种内部和外部因素；相关方的要求，包括相关合规义务；组织的活动、产品和产品；其组织单元、职能和物理边界。</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公司管理体系范围：</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Q：羊肉、猪肉的加工（限许可范围内）、冷藏、销售</w:t>
            </w:r>
          </w:p>
          <w:p>
            <w:pPr>
              <w:spacing w:line="280" w:lineRule="exact"/>
              <w:ind w:firstLine="420" w:firstLineChars="200"/>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外包情况：无外包过程</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无设计和开发；</w:t>
            </w:r>
          </w:p>
        </w:tc>
        <w:tc>
          <w:tcPr>
            <w:tcW w:w="1564"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2"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管理体系及其过程</w:t>
            </w:r>
          </w:p>
          <w:p>
            <w:pPr>
              <w:spacing w:line="280" w:lineRule="exact"/>
              <w:rPr>
                <w:rFonts w:cs="宋体" w:asciiTheme="minorEastAsia" w:hAnsiTheme="minorEastAsia" w:eastAsiaTheme="minorEastAsia"/>
                <w:kern w:val="2"/>
                <w:sz w:val="24"/>
                <w:szCs w:val="24"/>
                <w:lang w:val="en-US" w:eastAsia="zh-CN" w:bidi="ar-SA"/>
              </w:rPr>
            </w:pPr>
          </w:p>
        </w:tc>
        <w:tc>
          <w:tcPr>
            <w:tcW w:w="947" w:type="dxa"/>
            <w:vAlign w:val="top"/>
          </w:tcPr>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4.4</w:t>
            </w:r>
          </w:p>
          <w:p>
            <w:pPr>
              <w:spacing w:line="280" w:lineRule="exact"/>
              <w:rPr>
                <w:rFonts w:cs="宋体" w:asciiTheme="minorEastAsia" w:hAnsiTheme="minorEastAsia" w:eastAsiaTheme="minorEastAsia"/>
                <w:kern w:val="2"/>
                <w:sz w:val="24"/>
                <w:szCs w:val="24"/>
                <w:lang w:val="en-US" w:eastAsia="zh-CN" w:bidi="ar-SA"/>
              </w:rPr>
            </w:pPr>
          </w:p>
        </w:tc>
        <w:tc>
          <w:tcPr>
            <w:tcW w:w="9875"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公司确定管理体系及其过程；公司确保按照质量管理体系标准要求建立、实施、保持和持续改进质量管理体系，包括所需过程及其相互作用。</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公司确定质量管理体系所需的过程及其在整个组织中的应用。</w:t>
            </w:r>
          </w:p>
          <w:p>
            <w:pPr>
              <w:spacing w:line="280" w:lineRule="exact"/>
              <w:ind w:firstLine="420" w:firstLineChars="200"/>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Cs w:val="21"/>
              </w:rPr>
              <w:t>公司按照标准建立了文件化的管理体系，</w:t>
            </w:r>
            <w:r>
              <w:rPr>
                <w:rFonts w:hint="eastAsia" w:cs="宋体" w:asciiTheme="minorEastAsia" w:hAnsiTheme="minorEastAsia" w:eastAsiaTheme="minorEastAsia"/>
                <w:szCs w:val="21"/>
                <w:lang w:val="en-US" w:eastAsia="zh-CN"/>
              </w:rPr>
              <w:t>有</w:t>
            </w:r>
            <w:r>
              <w:rPr>
                <w:rFonts w:hint="eastAsia" w:cs="宋体" w:asciiTheme="minorEastAsia" w:hAnsiTheme="minorEastAsia" w:eastAsiaTheme="minorEastAsia"/>
                <w:szCs w:val="21"/>
              </w:rPr>
              <w:t>手册，程序文件、管理制度</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作业指导书</w:t>
            </w:r>
            <w:r>
              <w:rPr>
                <w:rFonts w:hint="eastAsia" w:cs="宋体" w:asciiTheme="minorEastAsia" w:hAnsiTheme="minorEastAsia" w:eastAsiaTheme="minorEastAsia"/>
                <w:szCs w:val="21"/>
              </w:rPr>
              <w:t>，形成了相关文件化信息，为过程运行提供了支持，以证实过程按照策划执行。</w:t>
            </w:r>
          </w:p>
        </w:tc>
        <w:tc>
          <w:tcPr>
            <w:tcW w:w="1564"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132"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方针</w:t>
            </w:r>
          </w:p>
          <w:p>
            <w:pPr>
              <w:spacing w:line="280" w:lineRule="exact"/>
              <w:rPr>
                <w:rFonts w:cs="宋体" w:asciiTheme="minorEastAsia" w:hAnsiTheme="minorEastAsia" w:eastAsiaTheme="minorEastAsia"/>
                <w:kern w:val="2"/>
                <w:sz w:val="24"/>
                <w:szCs w:val="24"/>
                <w:lang w:val="en-US" w:eastAsia="zh-CN" w:bidi="ar-SA"/>
              </w:rPr>
            </w:pPr>
          </w:p>
        </w:tc>
        <w:tc>
          <w:tcPr>
            <w:tcW w:w="947" w:type="dxa"/>
            <w:vAlign w:val="top"/>
          </w:tcPr>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5.2</w:t>
            </w:r>
          </w:p>
          <w:p>
            <w:pPr>
              <w:snapToGrid w:val="0"/>
              <w:spacing w:line="280" w:lineRule="exact"/>
              <w:rPr>
                <w:rFonts w:asciiTheme="minorEastAsia" w:hAnsiTheme="minorEastAsia" w:eastAsiaTheme="minorEastAsia"/>
                <w:szCs w:val="21"/>
              </w:rPr>
            </w:pP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kern w:val="2"/>
                <w:sz w:val="24"/>
                <w:szCs w:val="24"/>
                <w:lang w:val="en-US" w:eastAsia="zh-CN" w:bidi="ar-SA"/>
              </w:rPr>
            </w:pPr>
          </w:p>
        </w:tc>
        <w:tc>
          <w:tcPr>
            <w:tcW w:w="9875" w:type="dxa"/>
            <w:vAlign w:val="center"/>
          </w:tcPr>
          <w:p>
            <w:pPr>
              <w:pStyle w:val="13"/>
              <w:numPr>
                <w:ilvl w:val="0"/>
                <w:numId w:val="0"/>
              </w:num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w:t>
            </w:r>
            <w:r>
              <w:rPr>
                <w:rFonts w:hint="eastAsia" w:cs="宋体" w:asciiTheme="minorEastAsia" w:hAnsiTheme="minorEastAsia" w:eastAsiaTheme="minorEastAsia"/>
                <w:szCs w:val="21"/>
                <w:lang w:val="en-US" w:eastAsia="zh-CN"/>
              </w:rPr>
              <w:t>质量</w:t>
            </w:r>
            <w:r>
              <w:rPr>
                <w:rFonts w:cs="宋体" w:asciiTheme="minorEastAsia" w:hAnsiTheme="minorEastAsia" w:eastAsiaTheme="minorEastAsia"/>
                <w:szCs w:val="21"/>
              </w:rPr>
              <w:t>方针：</w:t>
            </w:r>
            <w:r>
              <w:rPr>
                <w:rFonts w:hint="eastAsia" w:cs="宋体" w:asciiTheme="minorEastAsia" w:hAnsiTheme="minorEastAsia" w:eastAsiaTheme="minorEastAsia"/>
                <w:szCs w:val="21"/>
              </w:rPr>
              <w:t>关注顾客需求，确保食品安全；依据法规管控，树立百年品牌。</w:t>
            </w:r>
          </w:p>
          <w:p>
            <w:pPr>
              <w:pStyle w:val="13"/>
              <w:numPr>
                <w:ilvl w:val="0"/>
                <w:numId w:val="0"/>
              </w:num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与总经理进行交谈，总经理对方针内涵理解；方针能为制定目标提供框架，方针基本符合标准的要求。</w:t>
            </w:r>
          </w:p>
          <w:p>
            <w:pPr>
              <w:pStyle w:val="13"/>
              <w:numPr>
                <w:ilvl w:val="0"/>
                <w:numId w:val="1"/>
              </w:numPr>
              <w:spacing w:line="280" w:lineRule="exact"/>
              <w:ind w:firstLineChars="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公司利</w:t>
            </w:r>
            <w:r>
              <w:rPr>
                <w:rFonts w:hint="eastAsia" w:cs="宋体" w:asciiTheme="minorEastAsia" w:hAnsiTheme="minorEastAsia" w:eastAsiaTheme="minorEastAsia"/>
                <w:szCs w:val="21"/>
              </w:rPr>
              <w:t>用会议、文件、宣传栏或资料等方法确保管理方针传达给所有为公司工作或代表公司的人员或相关方，并理解得到贯彻。</w:t>
            </w:r>
          </w:p>
          <w:p>
            <w:pPr>
              <w:pStyle w:val="13"/>
              <w:numPr>
                <w:ilvl w:val="0"/>
                <w:numId w:val="1"/>
              </w:numPr>
              <w:spacing w:line="280" w:lineRule="exact"/>
              <w:ind w:left="840" w:leftChars="0" w:hanging="420" w:firstLineChars="0"/>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每年结合管理评审对方针的持续适宜性进行了评审继续保持，有评审记录。</w:t>
            </w:r>
          </w:p>
        </w:tc>
        <w:tc>
          <w:tcPr>
            <w:tcW w:w="1564" w:type="dxa"/>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132"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组织的岗位、职责和权限</w:t>
            </w:r>
          </w:p>
          <w:p>
            <w:pPr>
              <w:spacing w:line="280" w:lineRule="exact"/>
              <w:rPr>
                <w:rFonts w:cs="宋体" w:asciiTheme="minorEastAsia" w:hAnsiTheme="minorEastAsia" w:eastAsiaTheme="minorEastAsia"/>
                <w:kern w:val="2"/>
                <w:sz w:val="24"/>
                <w:szCs w:val="24"/>
                <w:lang w:val="en-US" w:eastAsia="zh-CN" w:bidi="ar-SA"/>
              </w:rPr>
            </w:pPr>
          </w:p>
        </w:tc>
        <w:tc>
          <w:tcPr>
            <w:tcW w:w="947" w:type="dxa"/>
            <w:vAlign w:val="top"/>
          </w:tcPr>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 xml:space="preserve"> 5.3</w:t>
            </w:r>
          </w:p>
          <w:p>
            <w:pPr>
              <w:spacing w:line="280" w:lineRule="exact"/>
              <w:rPr>
                <w:rFonts w:cs="宋体" w:asciiTheme="minorEastAsia" w:hAnsiTheme="minorEastAsia" w:eastAsiaTheme="minorEastAsia"/>
                <w:kern w:val="2"/>
                <w:sz w:val="24"/>
                <w:szCs w:val="24"/>
                <w:lang w:val="en-US" w:eastAsia="zh-CN" w:bidi="ar-SA"/>
              </w:rPr>
            </w:pPr>
          </w:p>
        </w:tc>
        <w:tc>
          <w:tcPr>
            <w:tcW w:w="9875"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420" w:firstLineChars="200"/>
              <w:textAlignment w:val="auto"/>
              <w:rPr>
                <w:rFonts w:hint="eastAsia" w:cs="宋体" w:asciiTheme="minorEastAsia" w:hAnsiTheme="minorEastAsia" w:eastAsiaTheme="minorEastAsia"/>
                <w:szCs w:val="21"/>
                <w:lang w:val="en-US" w:eastAsia="zh-CN"/>
              </w:rPr>
            </w:pPr>
          </w:p>
          <w:p>
            <w:pPr>
              <w:keepNext w:val="0"/>
              <w:keepLines w:val="0"/>
              <w:pageBreakBefore w:val="0"/>
              <w:widowControl w:val="0"/>
              <w:kinsoku/>
              <w:wordWrap/>
              <w:overflowPunct/>
              <w:topLinePunct w:val="0"/>
              <w:autoSpaceDE/>
              <w:autoSpaceDN/>
              <w:bidi w:val="0"/>
              <w:adjustRightInd/>
              <w:snapToGrid/>
              <w:spacing w:line="220" w:lineRule="exact"/>
              <w:ind w:firstLine="420" w:firstLineChars="20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提供公司</w:t>
            </w:r>
            <w:r>
              <w:rPr>
                <w:rFonts w:hint="eastAsia" w:cs="宋体" w:asciiTheme="minorEastAsia" w:hAnsiTheme="minorEastAsia" w:eastAsiaTheme="minorEastAsia"/>
                <w:szCs w:val="21"/>
              </w:rPr>
              <w:t>组织</w:t>
            </w:r>
            <w:r>
              <w:rPr>
                <w:rFonts w:hint="eastAsia" w:cs="宋体" w:asciiTheme="minorEastAsia" w:hAnsiTheme="minorEastAsia" w:eastAsiaTheme="minorEastAsia"/>
                <w:szCs w:val="21"/>
                <w:lang w:val="en-US" w:eastAsia="zh-CN"/>
              </w:rPr>
              <w:t>架构图</w:t>
            </w:r>
            <w:r>
              <w:rPr>
                <w:rFonts w:hint="eastAsia" w:cs="宋体" w:asciiTheme="minorEastAsia" w:hAnsiTheme="minorEastAsia" w:eastAsiaTheme="minorEastAsia"/>
                <w:szCs w:val="21"/>
              </w:rPr>
              <w:t>，各部门职责、权限和相互关系文件化，通过会议、培训、文件确保各相关部门及人员明确。</w:t>
            </w:r>
          </w:p>
          <w:p>
            <w:pPr>
              <w:keepNext w:val="0"/>
              <w:keepLines w:val="0"/>
              <w:pageBreakBefore w:val="0"/>
              <w:widowControl w:val="0"/>
              <w:kinsoku/>
              <w:wordWrap/>
              <w:overflowPunct/>
              <w:topLinePunct w:val="0"/>
              <w:autoSpaceDE/>
              <w:autoSpaceDN/>
              <w:bidi w:val="0"/>
              <w:adjustRightInd/>
              <w:snapToGrid/>
              <w:spacing w:line="220" w:lineRule="exact"/>
              <w:ind w:firstLine="420" w:firstLineChars="20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公司建立、实施和保持公司管理体系所需过程，公司任命</w:t>
            </w:r>
            <w:r>
              <w:rPr>
                <w:rFonts w:hint="eastAsia" w:cs="宋体" w:asciiTheme="minorEastAsia" w:hAnsiTheme="minorEastAsia" w:eastAsiaTheme="minorEastAsia"/>
                <w:szCs w:val="21"/>
                <w:lang w:eastAsia="zh-CN"/>
              </w:rPr>
              <w:t>邵蒙</w:t>
            </w:r>
            <w:r>
              <w:rPr>
                <w:rFonts w:hint="eastAsia" w:cs="宋体" w:asciiTheme="minorEastAsia" w:hAnsiTheme="minorEastAsia" w:eastAsiaTheme="minorEastAsia"/>
                <w:szCs w:val="21"/>
              </w:rPr>
              <w:t>为管理体系管理者代表，与其交谈明确职责和权限：</w:t>
            </w:r>
          </w:p>
          <w:p>
            <w:pPr>
              <w:pStyle w:val="13"/>
              <w:keepNext w:val="0"/>
              <w:keepLines w:val="0"/>
              <w:pageBreakBefore w:val="0"/>
              <w:widowControl w:val="0"/>
              <w:numPr>
                <w:ilvl w:val="0"/>
                <w:numId w:val="2"/>
              </w:numPr>
              <w:kinsoku/>
              <w:wordWrap/>
              <w:overflowPunct/>
              <w:topLinePunct w:val="0"/>
              <w:autoSpaceDE/>
              <w:autoSpaceDN/>
              <w:bidi w:val="0"/>
              <w:adjustRightInd/>
              <w:snapToGrid/>
              <w:spacing w:line="220" w:lineRule="exact"/>
              <w:ind w:left="840" w:leftChars="0" w:hanging="420" w:firstLineChars="0"/>
              <w:textAlignment w:val="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确保质量管理体系所需过程得到建立、实施和保持；</w:t>
            </w:r>
          </w:p>
          <w:p>
            <w:pPr>
              <w:pStyle w:val="13"/>
              <w:keepNext w:val="0"/>
              <w:keepLines w:val="0"/>
              <w:pageBreakBefore w:val="0"/>
              <w:widowControl w:val="0"/>
              <w:numPr>
                <w:ilvl w:val="0"/>
                <w:numId w:val="2"/>
              </w:numPr>
              <w:kinsoku/>
              <w:wordWrap/>
              <w:overflowPunct/>
              <w:topLinePunct w:val="0"/>
              <w:autoSpaceDE/>
              <w:autoSpaceDN/>
              <w:bidi w:val="0"/>
              <w:adjustRightInd/>
              <w:snapToGrid/>
              <w:spacing w:line="220" w:lineRule="exact"/>
              <w:ind w:left="840" w:leftChars="0" w:hanging="420" w:firstLineChars="0"/>
              <w:textAlignment w:val="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向最高管理者报告质量管理体系的业绩，包括改进的需求；</w:t>
            </w:r>
          </w:p>
          <w:p>
            <w:pPr>
              <w:pStyle w:val="13"/>
              <w:keepNext w:val="0"/>
              <w:keepLines w:val="0"/>
              <w:pageBreakBefore w:val="0"/>
              <w:widowControl w:val="0"/>
              <w:numPr>
                <w:ilvl w:val="0"/>
                <w:numId w:val="2"/>
              </w:numPr>
              <w:kinsoku/>
              <w:wordWrap/>
              <w:overflowPunct/>
              <w:topLinePunct w:val="0"/>
              <w:autoSpaceDE/>
              <w:autoSpaceDN/>
              <w:bidi w:val="0"/>
              <w:adjustRightInd/>
              <w:snapToGrid/>
              <w:spacing w:line="220" w:lineRule="exact"/>
              <w:ind w:left="840" w:leftChars="0" w:hanging="420" w:firstLineChars="0"/>
              <w:textAlignment w:val="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确保在组织内提高满足顾客要求意识的形成；</w:t>
            </w:r>
          </w:p>
          <w:p>
            <w:pPr>
              <w:pStyle w:val="13"/>
              <w:keepNext w:val="0"/>
              <w:keepLines w:val="0"/>
              <w:pageBreakBefore w:val="0"/>
              <w:widowControl w:val="0"/>
              <w:numPr>
                <w:ilvl w:val="0"/>
                <w:numId w:val="2"/>
              </w:numPr>
              <w:kinsoku/>
              <w:wordWrap/>
              <w:overflowPunct/>
              <w:topLinePunct w:val="0"/>
              <w:autoSpaceDE/>
              <w:autoSpaceDN/>
              <w:bidi w:val="0"/>
              <w:adjustRightInd/>
              <w:snapToGrid/>
              <w:spacing w:line="220" w:lineRule="exact"/>
              <w:ind w:left="840" w:leftChars="0" w:hanging="420" w:firstLineChars="0"/>
              <w:textAlignment w:val="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就质量管理体系的有关事宜对外联络；</w:t>
            </w:r>
          </w:p>
          <w:p>
            <w:pPr>
              <w:pStyle w:val="13"/>
              <w:keepNext w:val="0"/>
              <w:keepLines w:val="0"/>
              <w:pageBreakBefore w:val="0"/>
              <w:widowControl w:val="0"/>
              <w:numPr>
                <w:ilvl w:val="0"/>
                <w:numId w:val="2"/>
              </w:numPr>
              <w:kinsoku/>
              <w:wordWrap/>
              <w:overflowPunct/>
              <w:topLinePunct w:val="0"/>
              <w:autoSpaceDE/>
              <w:autoSpaceDN/>
              <w:bidi w:val="0"/>
              <w:adjustRightInd/>
              <w:snapToGrid/>
              <w:spacing w:line="220" w:lineRule="exact"/>
              <w:ind w:left="840" w:leftChars="0" w:hanging="420" w:firstLineChars="0"/>
              <w:textAlignment w:val="auto"/>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Cs w:val="21"/>
              </w:rPr>
              <w:t>作好质量管理体系运行和内部审核工作，任命内审组长</w:t>
            </w:r>
            <w:r>
              <w:rPr>
                <w:rFonts w:hint="eastAsia" w:cs="宋体" w:asciiTheme="minorEastAsia" w:hAnsiTheme="minorEastAsia" w:eastAsiaTheme="minorEastAsia"/>
                <w:szCs w:val="21"/>
                <w:lang w:eastAsia="zh-CN"/>
              </w:rPr>
              <w:t>。</w:t>
            </w:r>
          </w:p>
        </w:tc>
        <w:tc>
          <w:tcPr>
            <w:tcW w:w="1564" w:type="dxa"/>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32"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应对风险和机遇的措施</w:t>
            </w:r>
          </w:p>
          <w:p>
            <w:pPr>
              <w:spacing w:line="280" w:lineRule="exact"/>
              <w:rPr>
                <w:rFonts w:cs="宋体" w:asciiTheme="minorEastAsia" w:hAnsiTheme="minorEastAsia" w:eastAsiaTheme="minorEastAsia"/>
                <w:kern w:val="2"/>
                <w:sz w:val="24"/>
                <w:szCs w:val="24"/>
                <w:lang w:val="en-US" w:eastAsia="zh-CN" w:bidi="ar-SA"/>
              </w:rPr>
            </w:pPr>
          </w:p>
        </w:tc>
        <w:tc>
          <w:tcPr>
            <w:tcW w:w="947" w:type="dxa"/>
            <w:vAlign w:val="top"/>
          </w:tcPr>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6.1</w:t>
            </w: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kern w:val="2"/>
                <w:sz w:val="21"/>
                <w:szCs w:val="21"/>
                <w:lang w:val="en-US" w:eastAsia="zh-CN" w:bidi="ar-SA"/>
              </w:rPr>
            </w:pPr>
          </w:p>
        </w:tc>
        <w:tc>
          <w:tcPr>
            <w:tcW w:w="9875" w:type="dxa"/>
            <w:vAlign w:val="center"/>
          </w:tcPr>
          <w:p>
            <w:pPr>
              <w:spacing w:line="28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按公司</w:t>
            </w:r>
            <w:r>
              <w:rPr>
                <w:rFonts w:hint="eastAsia" w:cs="宋体" w:asciiTheme="minorEastAsia" w:hAnsiTheme="minorEastAsia" w:eastAsiaTheme="minorEastAsia"/>
                <w:szCs w:val="21"/>
              </w:rPr>
              <w:t>《风险和机遇</w:t>
            </w:r>
            <w:r>
              <w:rPr>
                <w:rFonts w:hint="eastAsia" w:cs="宋体" w:asciiTheme="minorEastAsia" w:hAnsiTheme="minorEastAsia" w:eastAsiaTheme="minorEastAsia"/>
                <w:szCs w:val="21"/>
                <w:lang w:val="en-US" w:eastAsia="zh-CN"/>
              </w:rPr>
              <w:t>的应对措施</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执行；</w:t>
            </w:r>
          </w:p>
          <w:p>
            <w:pPr>
              <w:pStyle w:val="13"/>
              <w:numPr>
                <w:ilvl w:val="0"/>
                <w:numId w:val="3"/>
              </w:numPr>
              <w:spacing w:line="280" w:lineRule="exact"/>
              <w:ind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外部因素主要有：社会和文化、政治、法律、监管、经济、自然环境和市场竞争环境；影响公司目标的主要驱动和趋势；与外部利益相关者的价值观的关系</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如国家政策、标准、法律法规及其他要求的变动等</w:t>
            </w:r>
            <w:r>
              <w:rPr>
                <w:rFonts w:hint="eastAsia" w:cs="宋体" w:asciiTheme="minorEastAsia" w:hAnsiTheme="minorEastAsia" w:eastAsiaTheme="minorEastAsia"/>
                <w:szCs w:val="21"/>
                <w:lang w:eastAsia="zh-CN"/>
              </w:rPr>
              <w:t>。</w:t>
            </w:r>
          </w:p>
          <w:p>
            <w:pPr>
              <w:pStyle w:val="13"/>
              <w:numPr>
                <w:ilvl w:val="0"/>
                <w:numId w:val="3"/>
              </w:numPr>
              <w:spacing w:line="280" w:lineRule="exact"/>
              <w:ind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内部因素包括：组织机构，角色和责任；政策、目标、战略；能力、资源和知识（资本、时间、人、能力、流程、系统和技术等）；内部利益相关者的价值观与组织文化之间的关系；信息流和决策流程；控制过程。</w:t>
            </w:r>
          </w:p>
          <w:p>
            <w:pPr>
              <w:pStyle w:val="13"/>
              <w:numPr>
                <w:ilvl w:val="0"/>
                <w:numId w:val="3"/>
              </w:numPr>
              <w:spacing w:line="280" w:lineRule="exact"/>
              <w:ind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明确风险和机遇事件的识别方法/途径、风险和机遇事件的评估方式、制定主要风险和机遇事件的应对措施的要求、评价这些措施有效性的方法。</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提供了内外因素识别清单、风险及机遇识别评价表，将需要应对的风险和机遇进行风险分析确定风险级别（采用打分法），在管理体系所确定的过程中，整合制定针对性管理措施。</w:t>
            </w:r>
          </w:p>
          <w:p>
            <w:pPr>
              <w:spacing w:line="280" w:lineRule="exact"/>
              <w:ind w:firstLine="420" w:firstLineChars="200"/>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建立风险对策及跟进表，明确责任部门负责跟踪风险对策实施和完成时间。</w:t>
            </w:r>
          </w:p>
        </w:tc>
        <w:tc>
          <w:tcPr>
            <w:tcW w:w="1564" w:type="dxa"/>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0" w:type="auto"/>
            <w:vAlign w:val="top"/>
          </w:tcPr>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质量目标</w:t>
            </w:r>
          </w:p>
          <w:p>
            <w:pPr>
              <w:spacing w:line="280" w:lineRule="exact"/>
              <w:rPr>
                <w:rFonts w:cs="Times New Roman" w:asciiTheme="minorEastAsia" w:hAnsiTheme="minorEastAsia" w:eastAsiaTheme="minorEastAsia"/>
                <w:kern w:val="2"/>
                <w:sz w:val="21"/>
                <w:lang w:val="en-US" w:eastAsia="zh-CN" w:bidi="ar-SA"/>
              </w:rPr>
            </w:pPr>
          </w:p>
        </w:tc>
        <w:tc>
          <w:tcPr>
            <w:tcW w:w="0" w:type="auto"/>
            <w:vAlign w:val="top"/>
          </w:tcPr>
          <w:p>
            <w:pPr>
              <w:spacing w:line="280" w:lineRule="exact"/>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6.2</w:t>
            </w:r>
          </w:p>
          <w:p>
            <w:pPr>
              <w:spacing w:line="280" w:lineRule="exact"/>
              <w:rPr>
                <w:rFonts w:asciiTheme="minorEastAsia" w:hAnsiTheme="minorEastAsia" w:eastAsiaTheme="minorEastAsia"/>
                <w:szCs w:val="21"/>
              </w:rPr>
            </w:pPr>
          </w:p>
          <w:p>
            <w:pPr>
              <w:spacing w:line="280" w:lineRule="exact"/>
              <w:rPr>
                <w:rFonts w:cs="Times New Roman" w:asciiTheme="minorEastAsia" w:hAnsiTheme="minorEastAsia" w:eastAsiaTheme="minorEastAsia"/>
                <w:kern w:val="2"/>
                <w:sz w:val="21"/>
                <w:lang w:val="en-US" w:eastAsia="zh-CN" w:bidi="ar-SA"/>
              </w:rPr>
            </w:pPr>
          </w:p>
        </w:tc>
        <w:tc>
          <w:tcPr>
            <w:tcW w:w="9875"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提供公司质量目标及部门分解，明确考核标准、周期；</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有2021年1月</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8月</w:t>
            </w:r>
            <w:r>
              <w:rPr>
                <w:rFonts w:hint="eastAsia" w:cs="宋体" w:asciiTheme="minorEastAsia" w:hAnsiTheme="minorEastAsia" w:eastAsiaTheme="minorEastAsia"/>
                <w:szCs w:val="21"/>
              </w:rPr>
              <w:t>，公司目标完成统计记录：考核审核人：</w:t>
            </w:r>
            <w:r>
              <w:rPr>
                <w:rFonts w:hint="eastAsia" w:cs="宋体" w:asciiTheme="minorEastAsia" w:hAnsiTheme="minorEastAsia" w:eastAsiaTheme="minorEastAsia"/>
                <w:szCs w:val="21"/>
                <w:lang w:eastAsia="zh-CN"/>
              </w:rPr>
              <w:t>腾志武，</w:t>
            </w:r>
            <w:r>
              <w:rPr>
                <w:rFonts w:hint="eastAsia" w:cs="宋体" w:asciiTheme="minorEastAsia" w:hAnsiTheme="minorEastAsia" w:eastAsiaTheme="minorEastAsia"/>
                <w:szCs w:val="21"/>
              </w:rPr>
              <w:t>目标指标均达成，</w:t>
            </w:r>
            <w:r>
              <w:rPr>
                <w:rFonts w:hint="eastAsia" w:cs="宋体" w:asciiTheme="minorEastAsia" w:hAnsiTheme="minorEastAsia" w:eastAsiaTheme="minorEastAsia"/>
                <w:szCs w:val="21"/>
                <w:lang w:val="en-US" w:eastAsia="zh-CN"/>
              </w:rPr>
              <w:t>完成如下：</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产品</w:t>
            </w:r>
            <w:r>
              <w:rPr>
                <w:rFonts w:hint="eastAsia" w:cs="宋体" w:asciiTheme="minorEastAsia" w:hAnsiTheme="minorEastAsia" w:eastAsiaTheme="minorEastAsia"/>
                <w:szCs w:val="21"/>
                <w:lang w:val="en-US" w:eastAsia="zh-CN"/>
              </w:rPr>
              <w:t>实现过程检验覆盖</w:t>
            </w:r>
            <w:r>
              <w:rPr>
                <w:rFonts w:hint="eastAsia" w:cs="宋体" w:asciiTheme="minorEastAsia" w:hAnsiTheme="minorEastAsia" w:eastAsiaTheme="minorEastAsia"/>
                <w:szCs w:val="21"/>
              </w:rPr>
              <w:t>率100%</w:t>
            </w:r>
          </w:p>
          <w:p>
            <w:pPr>
              <w:spacing w:line="280" w:lineRule="exact"/>
              <w:ind w:firstLine="420" w:firstLineChars="200"/>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lang w:val="en-US" w:eastAsia="zh-CN"/>
              </w:rPr>
              <w:t xml:space="preserve">2 </w:t>
            </w:r>
            <w:r>
              <w:rPr>
                <w:rFonts w:hint="eastAsia" w:cs="宋体" w:asciiTheme="minorEastAsia" w:hAnsiTheme="minorEastAsia" w:eastAsiaTheme="minorEastAsia"/>
                <w:szCs w:val="21"/>
              </w:rPr>
              <w:t>产品一次</w:t>
            </w:r>
            <w:r>
              <w:rPr>
                <w:rFonts w:hint="eastAsia" w:cs="宋体" w:asciiTheme="minorEastAsia" w:hAnsiTheme="minorEastAsia" w:eastAsiaTheme="minorEastAsia"/>
                <w:szCs w:val="21"/>
                <w:lang w:val="en-US" w:eastAsia="zh-CN"/>
              </w:rPr>
              <w:t>交</w:t>
            </w:r>
            <w:r>
              <w:rPr>
                <w:rFonts w:hint="eastAsia" w:cs="宋体" w:asciiTheme="minorEastAsia" w:hAnsiTheme="minorEastAsia" w:eastAsiaTheme="minorEastAsia"/>
                <w:szCs w:val="21"/>
              </w:rPr>
              <w:t>验合格率</w:t>
            </w:r>
            <w:r>
              <w:rPr>
                <w:rFonts w:hint="eastAsia" w:cs="宋体" w:asciiTheme="minorEastAsia" w:hAnsiTheme="minorEastAsia" w:eastAsiaTheme="minorEastAsia"/>
                <w:szCs w:val="21"/>
                <w:lang w:val="en-US" w:eastAsia="zh-CN"/>
              </w:rPr>
              <w:t>99</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 xml:space="preserve">               3</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顾客满意度</w:t>
            </w:r>
            <w:r>
              <w:rPr>
                <w:rFonts w:hint="eastAsia" w:cs="宋体" w:asciiTheme="minorEastAsia" w:hAnsiTheme="minorEastAsia" w:eastAsiaTheme="minorEastAsia"/>
                <w:szCs w:val="21"/>
                <w:lang w:val="en-US" w:eastAsia="zh-CN"/>
              </w:rPr>
              <w:t>指数</w:t>
            </w:r>
            <w:r>
              <w:rPr>
                <w:rFonts w:hint="eastAsia" w:cs="宋体" w:asciiTheme="minorEastAsia" w:hAnsiTheme="minorEastAsia" w:eastAsiaTheme="minorEastAsia"/>
                <w:szCs w:val="21"/>
              </w:rPr>
              <w:t>9</w:t>
            </w:r>
            <w:r>
              <w:rPr>
                <w:rFonts w:hint="eastAsia" w:cs="宋体" w:asciiTheme="minorEastAsia" w:hAnsiTheme="minorEastAsia" w:eastAsiaTheme="minorEastAsia"/>
                <w:szCs w:val="21"/>
                <w:lang w:val="en-US" w:eastAsia="zh-CN"/>
              </w:rPr>
              <w:t>0</w:t>
            </w:r>
            <w:r>
              <w:rPr>
                <w:rFonts w:cs="宋体" w:asciiTheme="minorEastAsia" w:hAnsiTheme="minorEastAsia" w:eastAsiaTheme="minorEastAsia"/>
                <w:szCs w:val="21"/>
              </w:rPr>
              <w:t>%</w:t>
            </w:r>
          </w:p>
        </w:tc>
        <w:tc>
          <w:tcPr>
            <w:tcW w:w="1564" w:type="dxa"/>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0" w:type="auto"/>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变更的策划</w:t>
            </w:r>
          </w:p>
          <w:p>
            <w:pPr>
              <w:spacing w:line="280" w:lineRule="exact"/>
              <w:rPr>
                <w:rFonts w:cs="Times New Roman" w:asciiTheme="minorEastAsia" w:hAnsiTheme="minorEastAsia" w:eastAsiaTheme="minorEastAsia"/>
                <w:kern w:val="2"/>
                <w:sz w:val="21"/>
                <w:lang w:val="en-US" w:eastAsia="zh-CN" w:bidi="ar-SA"/>
              </w:rPr>
            </w:pPr>
          </w:p>
        </w:tc>
        <w:tc>
          <w:tcPr>
            <w:tcW w:w="0" w:type="auto"/>
            <w:vAlign w:val="top"/>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6.3</w:t>
            </w:r>
          </w:p>
          <w:p>
            <w:pPr>
              <w:spacing w:line="280" w:lineRule="exact"/>
              <w:rPr>
                <w:rFonts w:cs="Times New Roman" w:asciiTheme="minorEastAsia" w:hAnsiTheme="minorEastAsia" w:eastAsiaTheme="minorEastAsia"/>
                <w:kern w:val="2"/>
                <w:sz w:val="21"/>
                <w:lang w:val="en-US" w:eastAsia="zh-CN" w:bidi="ar-SA"/>
              </w:rPr>
            </w:pPr>
          </w:p>
        </w:tc>
        <w:tc>
          <w:tcPr>
            <w:tcW w:w="9875" w:type="dxa"/>
            <w:vAlign w:val="center"/>
          </w:tcPr>
          <w:p>
            <w:pPr>
              <w:spacing w:line="280" w:lineRule="exact"/>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公司</w:t>
            </w:r>
            <w:r>
              <w:rPr>
                <w:rFonts w:hint="eastAsia" w:asciiTheme="minorEastAsia" w:hAnsiTheme="minorEastAsia" w:eastAsiaTheme="minorEastAsia"/>
                <w:szCs w:val="21"/>
                <w:lang w:val="en-US" w:eastAsia="zh-CN"/>
              </w:rPr>
              <w:t>质量管理体系本阶段没有重大变更，与负责人交流，</w:t>
            </w:r>
            <w:r>
              <w:rPr>
                <w:rFonts w:hint="eastAsia" w:asciiTheme="minorEastAsia" w:hAnsiTheme="minorEastAsia" w:eastAsiaTheme="minorEastAsia"/>
                <w:szCs w:val="21"/>
              </w:rPr>
              <w:t>明确变更</w:t>
            </w:r>
            <w:r>
              <w:rPr>
                <w:rFonts w:hint="eastAsia" w:asciiTheme="minorEastAsia" w:hAnsiTheme="minorEastAsia" w:eastAsiaTheme="minorEastAsia"/>
                <w:szCs w:val="21"/>
                <w:lang w:val="en-US" w:eastAsia="zh-CN"/>
              </w:rPr>
              <w:t>要求</w:t>
            </w:r>
            <w:r>
              <w:rPr>
                <w:rFonts w:hint="eastAsia" w:asciiTheme="minorEastAsia" w:hAnsiTheme="minorEastAsia" w:eastAsiaTheme="minorEastAsia"/>
                <w:szCs w:val="21"/>
              </w:rPr>
              <w:t>，应经策划并系统的实施，考虑变更目的及其潜在后果</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管理体系的完整性</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资源的可获得性；责任和权限的分配与再分配。</w:t>
            </w:r>
          </w:p>
        </w:tc>
        <w:tc>
          <w:tcPr>
            <w:tcW w:w="1564" w:type="dxa"/>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0" w:type="auto"/>
            <w:vAlign w:val="top"/>
          </w:tcPr>
          <w:p>
            <w:pPr>
              <w:spacing w:line="280" w:lineRule="exact"/>
              <w:rPr>
                <w:rFonts w:cs="Times New Roman" w:asciiTheme="minorEastAsia" w:hAnsiTheme="minorEastAsia" w:eastAsiaTheme="minorEastAsia"/>
                <w:kern w:val="2"/>
                <w:sz w:val="21"/>
                <w:lang w:val="en-US" w:eastAsia="zh-CN" w:bidi="ar-SA"/>
              </w:rPr>
            </w:pPr>
            <w:r>
              <w:rPr>
                <w:rFonts w:hint="eastAsia" w:ascii="宋体" w:hAnsi="宋体" w:cs="Arial"/>
                <w:spacing w:val="-6"/>
                <w:szCs w:val="21"/>
              </w:rPr>
              <w:t>沟通</w:t>
            </w:r>
          </w:p>
        </w:tc>
        <w:tc>
          <w:tcPr>
            <w:tcW w:w="0" w:type="auto"/>
            <w:vAlign w:val="top"/>
          </w:tcPr>
          <w:p>
            <w:pPr>
              <w:spacing w:line="280" w:lineRule="exact"/>
              <w:rPr>
                <w:rFonts w:cs="Times New Roman" w:asciiTheme="minorEastAsia" w:hAnsiTheme="minorEastAsia" w:eastAsiaTheme="minorEastAsia"/>
                <w:kern w:val="2"/>
                <w:sz w:val="21"/>
                <w:lang w:val="en-US" w:eastAsia="zh-CN" w:bidi="ar-SA"/>
              </w:rPr>
            </w:pPr>
            <w:r>
              <w:rPr>
                <w:rFonts w:cs="Arial" w:asciiTheme="minorEastAsia" w:hAnsiTheme="minorEastAsia" w:eastAsiaTheme="minorEastAsia"/>
                <w:spacing w:val="-6"/>
                <w:szCs w:val="24"/>
              </w:rPr>
              <w:t xml:space="preserve"> 7.4</w:t>
            </w:r>
          </w:p>
        </w:tc>
        <w:tc>
          <w:tcPr>
            <w:tcW w:w="9875" w:type="dxa"/>
            <w:vAlign w:val="center"/>
          </w:tcPr>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公司建立并实施《内外部沟通程序》，明确职责、工作流程，包括内部沟通和外部沟通的方法和要求。</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公司确定了质量管理体系相关的内部和外部沟通，包括：沟通什么；何时沟通；与谁沟通；如何沟通；由谁负责，内外部沟通具体体现在公司内部工作会议、质量会议、员工的培训、公司宣传栏等；</w:t>
            </w:r>
          </w:p>
          <w:p>
            <w:pPr>
              <w:spacing w:line="280" w:lineRule="exact"/>
              <w:ind w:firstLine="420" w:firstLineChars="200"/>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与外部的沟通具体体现在合同签订、满意度调查。与质检</w:t>
            </w:r>
            <w:r>
              <w:rPr>
                <w:rFonts w:hint="eastAsia" w:asciiTheme="minorEastAsia" w:hAnsiTheme="minorEastAsia" w:eastAsiaTheme="minorEastAsia"/>
                <w:szCs w:val="21"/>
                <w:lang w:val="en-US" w:eastAsia="zh-CN"/>
              </w:rPr>
              <w:t>主管、畜牧部门、防疫部门</w:t>
            </w:r>
            <w:r>
              <w:rPr>
                <w:rFonts w:hint="eastAsia" w:asciiTheme="minorEastAsia" w:hAnsiTheme="minorEastAsia" w:eastAsiaTheme="minorEastAsia"/>
                <w:szCs w:val="21"/>
              </w:rPr>
              <w:t>及顾客和供方等进行沟通。</w:t>
            </w:r>
          </w:p>
        </w:tc>
        <w:tc>
          <w:tcPr>
            <w:tcW w:w="1564" w:type="dxa"/>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32" w:type="dxa"/>
            <w:vAlign w:val="top"/>
          </w:tcPr>
          <w:p>
            <w:pPr>
              <w:spacing w:line="280" w:lineRule="exact"/>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创建和更新</w:t>
            </w:r>
          </w:p>
        </w:tc>
        <w:tc>
          <w:tcPr>
            <w:tcW w:w="947" w:type="dxa"/>
            <w:vAlign w:val="top"/>
          </w:tcPr>
          <w:p>
            <w:pPr>
              <w:spacing w:line="280" w:lineRule="exact"/>
              <w:jc w:val="left"/>
              <w:rPr>
                <w:rFonts w:hint="eastAsia" w:cs="宋体" w:asciiTheme="minorEastAsia" w:hAnsiTheme="minorEastAsia" w:eastAsiaTheme="minorEastAsia"/>
                <w:kern w:val="2"/>
                <w:sz w:val="21"/>
                <w:szCs w:val="21"/>
                <w:lang w:val="en-US" w:eastAsia="zh-CN" w:bidi="ar-SA"/>
              </w:rPr>
            </w:pPr>
            <w:r>
              <w:rPr>
                <w:rFonts w:cs="宋体" w:asciiTheme="minorEastAsia" w:hAnsiTheme="minorEastAsia" w:eastAsiaTheme="minorEastAsia"/>
                <w:szCs w:val="21"/>
              </w:rPr>
              <w:t xml:space="preserve"> 7.5.2</w:t>
            </w:r>
          </w:p>
        </w:tc>
        <w:tc>
          <w:tcPr>
            <w:tcW w:w="9875" w:type="dxa"/>
            <w:vAlign w:val="center"/>
          </w:tcPr>
          <w:p>
            <w:pPr>
              <w:spacing w:line="280" w:lineRule="exact"/>
              <w:ind w:firstLine="420" w:firstLineChars="200"/>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文件按程序执行更改和作废；负责人明确创建和更新成文信息时，确保文件标识和说明、适宜的格式和媒介、文件经过评审和批准，确保适宜性和充分性。</w:t>
            </w:r>
          </w:p>
        </w:tc>
        <w:tc>
          <w:tcPr>
            <w:tcW w:w="1564" w:type="dxa"/>
            <w:vAlign w:val="top"/>
          </w:tcPr>
          <w:p>
            <w:pPr>
              <w:spacing w:line="360" w:lineRule="auto"/>
              <w:rPr>
                <w:rFonts w:hint="eastAsia" w:ascii="楷体" w:hAnsi="楷体" w:eastAsia="楷体" w:cs="Times New Roman"/>
                <w:kern w:val="2"/>
                <w:sz w:val="24"/>
                <w:szCs w:val="24"/>
                <w:lang w:val="en-US" w:eastAsia="zh-CN" w:bidi="ar-SA"/>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32" w:type="dxa"/>
            <w:vAlign w:val="center"/>
          </w:tcPr>
          <w:p>
            <w:pPr>
              <w:spacing w:line="280" w:lineRule="exact"/>
              <w:jc w:val="left"/>
              <w:rPr>
                <w:rFonts w:hint="default"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监视、测量、分析和评价</w:t>
            </w:r>
            <w:r>
              <w:rPr>
                <w:rFonts w:hint="eastAsia" w:cs="宋体" w:asciiTheme="minorEastAsia" w:hAnsiTheme="minorEastAsia" w:eastAsiaTheme="minorEastAsia"/>
                <w:szCs w:val="21"/>
                <w:lang w:val="en-US" w:eastAsia="zh-CN"/>
              </w:rPr>
              <w:t xml:space="preserve"> 总则</w:t>
            </w:r>
          </w:p>
        </w:tc>
        <w:tc>
          <w:tcPr>
            <w:tcW w:w="947" w:type="dxa"/>
            <w:vAlign w:val="center"/>
          </w:tcPr>
          <w:p>
            <w:pPr>
              <w:tabs>
                <w:tab w:val="left" w:pos="6597"/>
              </w:tabs>
              <w:spacing w:line="280" w:lineRule="exact"/>
              <w:jc w:val="left"/>
              <w:rPr>
                <w:rFonts w:hint="eastAsia"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 xml:space="preserve">9.1.1 </w:t>
            </w:r>
          </w:p>
        </w:tc>
        <w:tc>
          <w:tcPr>
            <w:tcW w:w="98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357"/>
              <w:textAlignment w:val="auto"/>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办公室定期抽查体系文件的执行情况、法律法规的遵循情况、目标、指标的完成情况等</w:t>
            </w:r>
            <w:r>
              <w:rPr>
                <w:rFonts w:hint="eastAsia" w:cs="宋体" w:asciiTheme="minorEastAsia" w:hAnsiTheme="minorEastAsia" w:eastAsiaTheme="minorEastAsia"/>
                <w:szCs w:val="21"/>
                <w:lang w:eastAsia="zh-CN"/>
              </w:rPr>
              <w:t>；</w:t>
            </w:r>
          </w:p>
          <w:p>
            <w:pPr>
              <w:pStyle w:val="2"/>
              <w:rPr>
                <w:rFonts w:hint="default" w:eastAsiaTheme="minorEastAsia"/>
                <w:lang w:val="en-US" w:eastAsia="zh-CN"/>
              </w:rPr>
            </w:pPr>
            <w:r>
              <w:rPr>
                <w:rFonts w:hint="eastAsia" w:cs="宋体" w:asciiTheme="minorEastAsia" w:hAnsiTheme="minorEastAsia" w:eastAsiaTheme="minorEastAsia"/>
                <w:szCs w:val="21"/>
                <w:lang w:val="en-US" w:eastAsia="zh-CN"/>
              </w:rPr>
              <w:t xml:space="preserve">   质管部对采购生猪、羊实施入厂检验把关，主管部门专人现场监视和测量；</w:t>
            </w:r>
          </w:p>
          <w:p>
            <w:pPr>
              <w:keepNext w:val="0"/>
              <w:keepLines w:val="0"/>
              <w:pageBreakBefore w:val="0"/>
              <w:widowControl w:val="0"/>
              <w:kinsoku/>
              <w:wordWrap/>
              <w:overflowPunct/>
              <w:topLinePunct w:val="0"/>
              <w:autoSpaceDE/>
              <w:autoSpaceDN/>
              <w:bidi w:val="0"/>
              <w:adjustRightInd/>
              <w:snapToGrid/>
              <w:spacing w:line="240" w:lineRule="exact"/>
              <w:ind w:left="357" w:leftChars="0"/>
              <w:textAlignment w:val="auto"/>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公司管理层对各部门监视、测量、分析和评价工作进行不定期抽查；</w:t>
            </w:r>
          </w:p>
          <w:p>
            <w:pPr>
              <w:keepNext w:val="0"/>
              <w:keepLines w:val="0"/>
              <w:pageBreakBefore w:val="0"/>
              <w:widowControl w:val="0"/>
              <w:kinsoku/>
              <w:wordWrap/>
              <w:overflowPunct/>
              <w:topLinePunct w:val="0"/>
              <w:autoSpaceDE/>
              <w:autoSpaceDN/>
              <w:bidi w:val="0"/>
              <w:adjustRightInd/>
              <w:snapToGrid/>
              <w:spacing w:line="240" w:lineRule="exact"/>
              <w:ind w:left="357" w:leftChars="0"/>
              <w:textAlignment w:val="auto"/>
              <w:rPr>
                <w:rFonts w:cs="Times New Roman"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通过内审、协助领导进行管理评审对管理体系的符合性、有效性进行监视。</w:t>
            </w:r>
          </w:p>
        </w:tc>
        <w:tc>
          <w:tcPr>
            <w:tcW w:w="1564" w:type="dxa"/>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32" w:type="dxa"/>
            <w:vAlign w:val="top"/>
          </w:tcPr>
          <w:p>
            <w:pPr>
              <w:spacing w:line="280" w:lineRule="exact"/>
              <w:jc w:val="left"/>
              <w:rPr>
                <w:rFonts w:cs="宋体" w:asciiTheme="minorEastAsia" w:hAnsiTheme="minorEastAsia" w:eastAsiaTheme="minorEastAsia"/>
                <w:szCs w:val="21"/>
              </w:rPr>
            </w:pPr>
          </w:p>
          <w:p>
            <w:pPr>
              <w:spacing w:line="280" w:lineRule="exact"/>
              <w:jc w:val="left"/>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分析与评价</w:t>
            </w:r>
          </w:p>
        </w:tc>
        <w:tc>
          <w:tcPr>
            <w:tcW w:w="947" w:type="dxa"/>
            <w:vAlign w:val="top"/>
          </w:tcPr>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hint="eastAsia"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9.1.3</w:t>
            </w:r>
          </w:p>
        </w:tc>
        <w:tc>
          <w:tcPr>
            <w:tcW w:w="9875" w:type="dxa"/>
            <w:vAlign w:val="top"/>
          </w:tcPr>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组织确定的分析与评价内容包括：</w:t>
            </w:r>
          </w:p>
          <w:p>
            <w:pPr>
              <w:keepNext w:val="0"/>
              <w:keepLines w:val="0"/>
              <w:pageBreakBefore w:val="0"/>
              <w:widowControl w:val="0"/>
              <w:numPr>
                <w:ilvl w:val="0"/>
                <w:numId w:val="4"/>
              </w:numPr>
              <w:kinsoku/>
              <w:wordWrap/>
              <w:overflowPunct/>
              <w:topLinePunct w:val="0"/>
              <w:autoSpaceDE/>
              <w:autoSpaceDN/>
              <w:bidi w:val="0"/>
              <w:adjustRightInd/>
              <w:snapToGrid/>
              <w:spacing w:line="220" w:lineRule="exact"/>
              <w:ind w:left="845" w:leftChars="0" w:hanging="425" w:firstLineChars="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产品监视和测量结果；</w:t>
            </w:r>
          </w:p>
          <w:p>
            <w:pPr>
              <w:keepNext w:val="0"/>
              <w:keepLines w:val="0"/>
              <w:pageBreakBefore w:val="0"/>
              <w:widowControl w:val="0"/>
              <w:numPr>
                <w:ilvl w:val="0"/>
                <w:numId w:val="4"/>
              </w:numPr>
              <w:kinsoku/>
              <w:wordWrap/>
              <w:overflowPunct/>
              <w:topLinePunct w:val="0"/>
              <w:autoSpaceDE/>
              <w:autoSpaceDN/>
              <w:bidi w:val="0"/>
              <w:adjustRightInd/>
              <w:snapToGrid/>
              <w:spacing w:line="220" w:lineRule="exact"/>
              <w:ind w:left="845" w:leftChars="0" w:hanging="425" w:firstLineChars="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供方绩效（合格供方评价、供方的</w:t>
            </w:r>
            <w:r>
              <w:rPr>
                <w:rFonts w:hint="eastAsia" w:cs="宋体" w:asciiTheme="minorEastAsia" w:hAnsiTheme="minorEastAsia" w:eastAsiaTheme="minorEastAsia"/>
                <w:szCs w:val="21"/>
                <w:lang w:val="en-US" w:eastAsia="zh-CN"/>
              </w:rPr>
              <w:t>业绩</w:t>
            </w:r>
            <w:r>
              <w:rPr>
                <w:rFonts w:hint="eastAsia" w:cs="宋体" w:asciiTheme="minorEastAsia" w:hAnsiTheme="minorEastAsia" w:eastAsiaTheme="minorEastAsia"/>
                <w:szCs w:val="21"/>
              </w:rPr>
              <w:t>）；</w:t>
            </w:r>
          </w:p>
          <w:p>
            <w:pPr>
              <w:keepNext w:val="0"/>
              <w:keepLines w:val="0"/>
              <w:pageBreakBefore w:val="0"/>
              <w:widowControl w:val="0"/>
              <w:numPr>
                <w:ilvl w:val="0"/>
                <w:numId w:val="4"/>
              </w:numPr>
              <w:kinsoku/>
              <w:wordWrap/>
              <w:overflowPunct/>
              <w:topLinePunct w:val="0"/>
              <w:autoSpaceDE/>
              <w:autoSpaceDN/>
              <w:bidi w:val="0"/>
              <w:adjustRightInd/>
              <w:snapToGrid/>
              <w:spacing w:line="220" w:lineRule="exact"/>
              <w:ind w:left="845" w:leftChars="0" w:hanging="425" w:firstLineChars="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顾客满意度调查（每年1次、数据统计分析）；</w:t>
            </w:r>
          </w:p>
          <w:p>
            <w:pPr>
              <w:keepNext w:val="0"/>
              <w:keepLines w:val="0"/>
              <w:pageBreakBefore w:val="0"/>
              <w:widowControl w:val="0"/>
              <w:numPr>
                <w:ilvl w:val="0"/>
                <w:numId w:val="4"/>
              </w:numPr>
              <w:kinsoku/>
              <w:wordWrap/>
              <w:overflowPunct/>
              <w:topLinePunct w:val="0"/>
              <w:autoSpaceDE/>
              <w:autoSpaceDN/>
              <w:bidi w:val="0"/>
              <w:adjustRightInd/>
              <w:snapToGrid/>
              <w:spacing w:line="220" w:lineRule="exact"/>
              <w:ind w:left="845" w:leftChars="0" w:hanging="425" w:firstLineChars="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目标完成情况；</w:t>
            </w:r>
          </w:p>
          <w:p>
            <w:pPr>
              <w:keepNext w:val="0"/>
              <w:keepLines w:val="0"/>
              <w:pageBreakBefore w:val="0"/>
              <w:widowControl w:val="0"/>
              <w:numPr>
                <w:ilvl w:val="0"/>
                <w:numId w:val="4"/>
              </w:numPr>
              <w:kinsoku/>
              <w:wordWrap/>
              <w:overflowPunct/>
              <w:topLinePunct w:val="0"/>
              <w:autoSpaceDE/>
              <w:autoSpaceDN/>
              <w:bidi w:val="0"/>
              <w:adjustRightInd/>
              <w:snapToGrid/>
              <w:spacing w:line="220" w:lineRule="exact"/>
              <w:ind w:left="845" w:leftChars="0" w:hanging="425" w:firstLineChars="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不合格品情况；</w:t>
            </w:r>
          </w:p>
          <w:p>
            <w:pPr>
              <w:keepNext w:val="0"/>
              <w:keepLines w:val="0"/>
              <w:pageBreakBefore w:val="0"/>
              <w:widowControl w:val="0"/>
              <w:numPr>
                <w:ilvl w:val="0"/>
                <w:numId w:val="4"/>
              </w:numPr>
              <w:kinsoku/>
              <w:wordWrap/>
              <w:overflowPunct/>
              <w:topLinePunct w:val="0"/>
              <w:autoSpaceDE/>
              <w:autoSpaceDN/>
              <w:bidi w:val="0"/>
              <w:adjustRightInd/>
              <w:snapToGrid/>
              <w:spacing w:line="220" w:lineRule="exact"/>
              <w:ind w:left="845" w:leftChars="0" w:hanging="425" w:firstLineChars="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日常检查（公司规章制度及各项管理规定检查）；</w:t>
            </w:r>
          </w:p>
          <w:p>
            <w:pPr>
              <w:keepNext w:val="0"/>
              <w:keepLines w:val="0"/>
              <w:pageBreakBefore w:val="0"/>
              <w:widowControl w:val="0"/>
              <w:numPr>
                <w:ilvl w:val="0"/>
                <w:numId w:val="4"/>
              </w:numPr>
              <w:kinsoku/>
              <w:wordWrap/>
              <w:overflowPunct/>
              <w:topLinePunct w:val="0"/>
              <w:autoSpaceDE/>
              <w:autoSpaceDN/>
              <w:bidi w:val="0"/>
              <w:adjustRightInd/>
              <w:snapToGrid/>
              <w:spacing w:line="220" w:lineRule="exact"/>
              <w:ind w:left="845" w:leftChars="0" w:hanging="425" w:firstLineChars="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采购及时率检查； </w:t>
            </w:r>
          </w:p>
          <w:p>
            <w:pPr>
              <w:keepNext w:val="0"/>
              <w:keepLines w:val="0"/>
              <w:pageBreakBefore w:val="0"/>
              <w:widowControl w:val="0"/>
              <w:numPr>
                <w:ilvl w:val="0"/>
                <w:numId w:val="4"/>
              </w:numPr>
              <w:kinsoku/>
              <w:wordWrap/>
              <w:overflowPunct/>
              <w:topLinePunct w:val="0"/>
              <w:autoSpaceDE/>
              <w:autoSpaceDN/>
              <w:bidi w:val="0"/>
              <w:adjustRightInd/>
              <w:snapToGrid/>
              <w:spacing w:line="220" w:lineRule="exact"/>
              <w:ind w:left="845" w:leftChars="0" w:hanging="425" w:firstLineChars="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交付完成情况检查；</w:t>
            </w:r>
          </w:p>
          <w:p>
            <w:pPr>
              <w:keepNext w:val="0"/>
              <w:keepLines w:val="0"/>
              <w:pageBreakBefore w:val="0"/>
              <w:widowControl w:val="0"/>
              <w:numPr>
                <w:ilvl w:val="0"/>
                <w:numId w:val="4"/>
              </w:numPr>
              <w:kinsoku/>
              <w:wordWrap/>
              <w:overflowPunct/>
              <w:topLinePunct w:val="0"/>
              <w:autoSpaceDE/>
              <w:autoSpaceDN/>
              <w:bidi w:val="0"/>
              <w:adjustRightInd/>
              <w:snapToGrid/>
              <w:spacing w:line="220" w:lineRule="exact"/>
              <w:ind w:left="845" w:leftChars="0" w:hanging="425" w:firstLineChars="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风险机遇措施有效性检查；</w:t>
            </w:r>
          </w:p>
          <w:p>
            <w:pPr>
              <w:keepNext w:val="0"/>
              <w:keepLines w:val="0"/>
              <w:pageBreakBefore w:val="0"/>
              <w:widowControl w:val="0"/>
              <w:numPr>
                <w:ilvl w:val="0"/>
                <w:numId w:val="4"/>
              </w:numPr>
              <w:kinsoku/>
              <w:wordWrap/>
              <w:overflowPunct/>
              <w:topLinePunct w:val="0"/>
              <w:autoSpaceDE/>
              <w:autoSpaceDN/>
              <w:bidi w:val="0"/>
              <w:adjustRightInd/>
              <w:snapToGrid/>
              <w:spacing w:line="220" w:lineRule="exact"/>
              <w:ind w:left="845" w:leftChars="0" w:hanging="425" w:firstLineChars="0"/>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内审和管理评审年度检查；</w:t>
            </w:r>
          </w:p>
          <w:p>
            <w:pPr>
              <w:ind w:left="357" w:leftChars="0" w:firstLine="420" w:firstLineChars="200"/>
              <w:rPr>
                <w:rFonts w:cs="Times New Roman"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通过对目标的状态评价产品和服务的符合性良好；对顾客满意度评价为达到目标要求；外部供方及时沟通处理和质量经分析均满足要求，绩效良好。通过内审评审公司管理体系的策划已有效实施；通过管理评审评价公司应对风险和机遇所采取措施有效，管理体系有效、绩效良好，评价出管理体系改进的需求加强风险管控。信息和数据分析、评价情况见各相关过程的审核记录。</w:t>
            </w:r>
          </w:p>
        </w:tc>
        <w:tc>
          <w:tcPr>
            <w:tcW w:w="1564" w:type="dxa"/>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32" w:type="dxa"/>
            <w:vAlign w:val="top"/>
          </w:tcPr>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内部审核</w:t>
            </w:r>
          </w:p>
          <w:p>
            <w:pPr>
              <w:spacing w:line="280" w:lineRule="exact"/>
              <w:ind w:firstLine="420" w:firstLineChars="200"/>
              <w:jc w:val="left"/>
              <w:rPr>
                <w:rFonts w:cs="宋体" w:asciiTheme="minorEastAsia" w:hAnsiTheme="minorEastAsia" w:eastAsiaTheme="minorEastAsia"/>
                <w:szCs w:val="21"/>
              </w:rPr>
            </w:pPr>
          </w:p>
          <w:p>
            <w:pPr>
              <w:spacing w:line="280" w:lineRule="exact"/>
              <w:ind w:firstLine="420" w:firstLineChars="200"/>
              <w:jc w:val="left"/>
              <w:rPr>
                <w:rFonts w:cs="Times New Roman" w:asciiTheme="minorEastAsia" w:hAnsiTheme="minorEastAsia" w:eastAsiaTheme="minorEastAsia"/>
                <w:kern w:val="2"/>
                <w:sz w:val="21"/>
                <w:lang w:val="en-US" w:eastAsia="zh-CN" w:bidi="ar-SA"/>
              </w:rPr>
            </w:pPr>
          </w:p>
        </w:tc>
        <w:tc>
          <w:tcPr>
            <w:tcW w:w="947" w:type="dxa"/>
            <w:vAlign w:val="top"/>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9.2</w:t>
            </w:r>
          </w:p>
          <w:p>
            <w:pPr>
              <w:spacing w:line="280" w:lineRule="exact"/>
              <w:ind w:firstLine="420" w:firstLineChars="200"/>
              <w:jc w:val="left"/>
              <w:rPr>
                <w:rFonts w:cs="Times New Roman" w:asciiTheme="minorEastAsia" w:hAnsiTheme="minorEastAsia" w:eastAsiaTheme="minorEastAsia"/>
                <w:kern w:val="2"/>
                <w:sz w:val="21"/>
                <w:lang w:val="en-US" w:eastAsia="zh-CN" w:bidi="ar-SA"/>
              </w:rPr>
            </w:pPr>
          </w:p>
        </w:tc>
        <w:tc>
          <w:tcPr>
            <w:tcW w:w="9875"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建立并执行《内部审核控制程序》，并能按标准规定对内部审核的策划、实施、人员安排与资质、内部审核的记录、不符合项的分析与验证，以及审核的结论等开展内部审核。</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由</w:t>
            </w:r>
            <w:r>
              <w:rPr>
                <w:rFonts w:hint="eastAsia" w:cs="宋体" w:asciiTheme="minorEastAsia" w:hAnsiTheme="minorEastAsia" w:eastAsiaTheme="minorEastAsia"/>
                <w:szCs w:val="21"/>
                <w:lang w:val="en-US" w:eastAsia="zh-CN"/>
              </w:rPr>
              <w:t>管理者代表</w:t>
            </w:r>
            <w:r>
              <w:rPr>
                <w:rFonts w:hint="eastAsia" w:cs="宋体" w:asciiTheme="minorEastAsia" w:hAnsiTheme="minorEastAsia" w:eastAsiaTheme="minorEastAsia"/>
                <w:szCs w:val="21"/>
              </w:rPr>
              <w:t>组织内部审核，一般每年至少进行一次内部审核，抽查内部审核情况：</w:t>
            </w:r>
          </w:p>
          <w:p>
            <w:pPr>
              <w:snapToGrid w:val="0"/>
              <w:spacing w:line="32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查2021年</w:t>
            </w:r>
            <w:r>
              <w:rPr>
                <w:rFonts w:hint="eastAsia" w:cs="宋体" w:asciiTheme="minorEastAsia" w:hAnsiTheme="minorEastAsia" w:eastAsiaTheme="minorEastAsia"/>
                <w:szCs w:val="21"/>
                <w:lang w:val="en-US" w:eastAsia="zh-CN"/>
              </w:rPr>
              <w:t>QMS</w:t>
            </w:r>
            <w:r>
              <w:rPr>
                <w:rFonts w:hint="eastAsia" w:cs="宋体" w:asciiTheme="minorEastAsia" w:hAnsiTheme="minorEastAsia" w:eastAsiaTheme="minorEastAsia"/>
                <w:szCs w:val="21"/>
              </w:rPr>
              <w:t>年度内部审核计划：内容已包括了审核目的、审核部门、依据、要求、内审时间</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2021.</w:t>
            </w:r>
            <w:r>
              <w:rPr>
                <w:rFonts w:hint="eastAsia" w:cs="宋体" w:asciiTheme="minorEastAsia" w:hAnsiTheme="minorEastAsia" w:eastAsiaTheme="minorEastAsia"/>
                <w:szCs w:val="21"/>
                <w:lang w:val="en-US" w:eastAsia="zh-CN"/>
              </w:rPr>
              <w:t>8.15-16</w:t>
            </w:r>
            <w:r>
              <w:rPr>
                <w:rFonts w:hint="eastAsia" w:cs="宋体" w:asciiTheme="minorEastAsia" w:hAnsiTheme="minorEastAsia" w:eastAsiaTheme="minorEastAsia"/>
                <w:szCs w:val="21"/>
              </w:rPr>
              <w:t>、审核组、要求、审核安排</w:t>
            </w:r>
          </w:p>
          <w:p>
            <w:pPr>
              <w:snapToGrid w:val="0"/>
              <w:spacing w:line="320" w:lineRule="exact"/>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有审核</w:t>
            </w:r>
            <w:r>
              <w:rPr>
                <w:rFonts w:hint="eastAsia" w:cs="宋体" w:asciiTheme="minorEastAsia" w:hAnsiTheme="minorEastAsia" w:eastAsiaTheme="minorEastAsia"/>
                <w:szCs w:val="21"/>
              </w:rPr>
              <w:t>员任命书</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审核计划已考虑到互查的公正性，无审核员审核本部门的情况，计划内容涉及各部门，条款覆盖整个标准。</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有首、末次会议签到及会议记录；</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提供了《内审检查表》，其中包括</w:t>
            </w:r>
            <w:r>
              <w:rPr>
                <w:rFonts w:hint="eastAsia" w:cs="宋体" w:asciiTheme="minorEastAsia" w:hAnsiTheme="minorEastAsia" w:eastAsiaTheme="minorEastAsia"/>
                <w:szCs w:val="21"/>
                <w:lang w:val="en-US" w:eastAsia="zh-CN"/>
              </w:rPr>
              <w:t>管理层</w:t>
            </w:r>
            <w:r>
              <w:rPr>
                <w:rFonts w:hint="eastAsia" w:cs="宋体" w:asciiTheme="minorEastAsia" w:hAnsiTheme="minorEastAsia" w:eastAsiaTheme="minorEastAsia"/>
                <w:szCs w:val="21"/>
              </w:rPr>
              <w:t>、办公室、供销部、生产部、质</w:t>
            </w:r>
            <w:r>
              <w:rPr>
                <w:rFonts w:hint="eastAsia" w:cs="宋体" w:asciiTheme="minorEastAsia" w:hAnsiTheme="minorEastAsia" w:eastAsiaTheme="minorEastAsia"/>
                <w:szCs w:val="21"/>
                <w:lang w:val="en-US" w:eastAsia="zh-CN"/>
              </w:rPr>
              <w:t>管</w:t>
            </w:r>
            <w:r>
              <w:rPr>
                <w:rFonts w:hint="eastAsia" w:cs="宋体" w:asciiTheme="minorEastAsia" w:hAnsiTheme="minorEastAsia" w:eastAsiaTheme="minorEastAsia"/>
                <w:szCs w:val="21"/>
              </w:rPr>
              <w:t>部的审核记录，条款与策划一致，记录真实、完整。</w:t>
            </w:r>
          </w:p>
          <w:p>
            <w:pPr>
              <w:spacing w:line="280" w:lineRule="exact"/>
              <w:ind w:firstLine="420"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本次内审</w:t>
            </w:r>
            <w:r>
              <w:rPr>
                <w:rFonts w:hint="eastAsia" w:cs="宋体" w:asciiTheme="minorEastAsia" w:hAnsiTheme="minorEastAsia" w:eastAsiaTheme="minorEastAsia"/>
                <w:szCs w:val="21"/>
                <w:lang w:val="en-US" w:eastAsia="zh-CN"/>
              </w:rPr>
              <w:t>未提出书面</w:t>
            </w:r>
            <w:r>
              <w:rPr>
                <w:rFonts w:hint="eastAsia" w:cs="宋体" w:asciiTheme="minorEastAsia" w:hAnsiTheme="minorEastAsia" w:eastAsiaTheme="minorEastAsia"/>
                <w:szCs w:val="21"/>
              </w:rPr>
              <w:t>不符合项</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口头提出两项问题，已要求日常注意、立即有效改进</w:t>
            </w:r>
          </w:p>
          <w:p>
            <w:pPr>
              <w:spacing w:line="280" w:lineRule="exact"/>
              <w:ind w:firstLine="420" w:firstLineChars="200"/>
              <w:rPr>
                <w:rFonts w:hint="default" w:eastAsia="微软雅黑" w:cs="宋体" w:asciiTheme="minorEastAsia" w:hAnsiTheme="minorEastAsia"/>
                <w:b/>
                <w:bCs/>
                <w:szCs w:val="21"/>
                <w:lang w:val="en-US" w:eastAsia="zh-CN"/>
              </w:rPr>
            </w:pPr>
            <w:r>
              <w:rPr>
                <w:rFonts w:hint="eastAsia" w:cs="宋体" w:asciiTheme="minorEastAsia" w:hAnsiTheme="minorEastAsia" w:eastAsiaTheme="minorEastAsia"/>
                <w:szCs w:val="21"/>
              </w:rPr>
              <w:t>提供《</w:t>
            </w:r>
            <w:r>
              <w:rPr>
                <w:rFonts w:hint="eastAsia" w:cs="宋体" w:asciiTheme="minorEastAsia" w:hAnsiTheme="minorEastAsia" w:eastAsiaTheme="minorEastAsia"/>
                <w:szCs w:val="21"/>
                <w:lang w:val="en-US" w:eastAsia="zh-CN"/>
              </w:rPr>
              <w:t>QMS</w:t>
            </w:r>
            <w:r>
              <w:rPr>
                <w:rFonts w:hint="eastAsia" w:cs="宋体" w:asciiTheme="minorEastAsia" w:hAnsiTheme="minorEastAsia" w:eastAsiaTheme="minorEastAsia"/>
                <w:szCs w:val="21"/>
              </w:rPr>
              <w:t>内部审核报告》，公司质量管理体系已完成改版，新的GB/T19001-2016体系整体运行良好，体系覆盖下各部门的实际情况与标准相符合、适宜，各岗位能按照管理体系的要求、法规以及公司相关文件、制度的要求认真落实运行</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报告时间：</w:t>
            </w:r>
            <w:r>
              <w:rPr>
                <w:rFonts w:hint="eastAsia" w:cs="宋体" w:asciiTheme="minorEastAsia" w:hAnsiTheme="minorEastAsia" w:eastAsiaTheme="minorEastAsia"/>
                <w:szCs w:val="21"/>
              </w:rPr>
              <w:t>2021.</w:t>
            </w:r>
            <w:r>
              <w:rPr>
                <w:rFonts w:hint="eastAsia" w:cs="宋体" w:asciiTheme="minorEastAsia" w:hAnsiTheme="minorEastAsia" w:eastAsiaTheme="minorEastAsia"/>
                <w:szCs w:val="21"/>
                <w:lang w:val="en-US" w:eastAsia="zh-CN"/>
              </w:rPr>
              <w:t>8.20。</w:t>
            </w:r>
          </w:p>
          <w:p>
            <w:pPr>
              <w:spacing w:line="280" w:lineRule="exact"/>
              <w:ind w:firstLine="420" w:firstLineChars="200"/>
              <w:rPr>
                <w:rFonts w:cs="Times New Roman"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公司内部审核基本有效。</w:t>
            </w:r>
          </w:p>
        </w:tc>
        <w:tc>
          <w:tcPr>
            <w:tcW w:w="1564" w:type="dxa"/>
          </w:tcPr>
          <w:p>
            <w:pPr>
              <w:rPr>
                <w:rFonts w:hint="default"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0" w:type="auto"/>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管理评审</w:t>
            </w:r>
          </w:p>
          <w:p>
            <w:pPr>
              <w:spacing w:line="280" w:lineRule="exact"/>
              <w:rPr>
                <w:rFonts w:cs="Times New Roman" w:asciiTheme="minorEastAsia" w:hAnsiTheme="minorEastAsia" w:eastAsiaTheme="minorEastAsia"/>
                <w:kern w:val="2"/>
                <w:sz w:val="21"/>
                <w:lang w:val="en-US" w:eastAsia="zh-CN" w:bidi="ar-SA"/>
              </w:rPr>
            </w:pPr>
          </w:p>
        </w:tc>
        <w:tc>
          <w:tcPr>
            <w:tcW w:w="0" w:type="auto"/>
            <w:vAlign w:val="top"/>
          </w:tcPr>
          <w:p>
            <w:pPr>
              <w:spacing w:line="280" w:lineRule="exact"/>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9.3</w:t>
            </w:r>
          </w:p>
          <w:p>
            <w:pPr>
              <w:spacing w:line="280" w:lineRule="exact"/>
              <w:rPr>
                <w:rFonts w:asciiTheme="minorEastAsia" w:hAnsiTheme="minorEastAsia" w:eastAsiaTheme="minorEastAsia"/>
                <w:szCs w:val="21"/>
              </w:rPr>
            </w:pPr>
          </w:p>
          <w:p>
            <w:pPr>
              <w:spacing w:line="280" w:lineRule="exact"/>
              <w:rPr>
                <w:rFonts w:cs="Times New Roman" w:asciiTheme="minorEastAsia" w:hAnsiTheme="minorEastAsia" w:eastAsiaTheme="minorEastAsia"/>
                <w:kern w:val="2"/>
                <w:sz w:val="21"/>
                <w:lang w:val="en-US" w:eastAsia="zh-CN" w:bidi="ar-SA"/>
              </w:rPr>
            </w:pPr>
          </w:p>
        </w:tc>
        <w:tc>
          <w:tcPr>
            <w:tcW w:w="9875" w:type="dxa"/>
            <w:vAlign w:val="center"/>
          </w:tcPr>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公司建立并实施《管理评审控制程序》，规定管理评审每年进行一次，由总经理决定是否增加管理评审的频次，间隔不超过12个月。</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查阅公司管理评审资料，提供：</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1.管理评审计划</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评审时间：2021年</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30</w:t>
            </w:r>
            <w:r>
              <w:rPr>
                <w:rFonts w:hint="eastAsia" w:asciiTheme="minorEastAsia" w:hAnsiTheme="minorEastAsia" w:eastAsiaTheme="minorEastAsia"/>
                <w:szCs w:val="21"/>
              </w:rPr>
              <w:t>日进行， 评审目的、范围、评审要点、各部门评审准备工作要求，批准：</w:t>
            </w:r>
            <w:r>
              <w:rPr>
                <w:rFonts w:hint="eastAsia" w:asciiTheme="minorEastAsia" w:hAnsiTheme="minorEastAsia" w:eastAsiaTheme="minorEastAsia"/>
                <w:szCs w:val="21"/>
                <w:lang w:eastAsia="zh-CN"/>
              </w:rPr>
              <w:t>腾志武</w:t>
            </w:r>
            <w:r>
              <w:rPr>
                <w:rFonts w:hint="eastAsia" w:asciiTheme="minorEastAsia" w:hAnsiTheme="minorEastAsia" w:eastAsiaTheme="minorEastAsia"/>
                <w:szCs w:val="21"/>
              </w:rPr>
              <w:t>；</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2.管理评审会议实施：有会议记录及参加人员、评审输入资料</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按计划的时间实施了管理评审，管理评审输入管理体系运行报告、主要部门报告，包含：方针、目标的适宜行和实现情况；管理体系的符合性；内审结果；内外部环境分析及风险应对措施的落实情况；纠正预防措施及持续改进能力；</w:t>
            </w:r>
            <w:r>
              <w:rPr>
                <w:rFonts w:hint="eastAsia" w:asciiTheme="minorEastAsia" w:hAnsiTheme="minorEastAsia" w:eastAsiaTheme="minorEastAsia"/>
                <w:szCs w:val="21"/>
                <w:lang w:val="en-US" w:eastAsia="zh-CN"/>
              </w:rPr>
              <w:t>可</w:t>
            </w:r>
            <w:r>
              <w:rPr>
                <w:rFonts w:hint="eastAsia" w:asciiTheme="minorEastAsia" w:hAnsiTheme="minorEastAsia" w:eastAsiaTheme="minorEastAsia"/>
                <w:szCs w:val="21"/>
              </w:rPr>
              <w:t>能影响管理体系的变更；质量安全事故、顾客满意度及改进建议，变更管理要求、以往管理评审情况等；</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3.管理评审报告：评审目的、地点会议室、评审内容、评审时间、参加评审人员、评审内容摘要，评审结论；</w:t>
            </w:r>
          </w:p>
          <w:p>
            <w:pPr>
              <w:spacing w:line="280" w:lineRule="exact"/>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结论：按ISO9001:2016版标准要求建立的质量管理体系，合理的删减了“8.3”条款。各部门设置符合标准要求，文件和适用的法律法规健全有效；运行记录按要求实施；体系具有适宜、充分和有效性；能力和资源充足，可以满足运行和改进的需求；在运行中对顾客满意程度进行了监视和测量，满意程度符合策划要求；公司质量方针适宜、质量目标合理、各部门分解的目标与本部门职责相符合，有追求性并能达到。体系具备发现不符合和纠正的能力，处于持续改进之中。树立“兴源品牌”，扩大市场，为顾客提供安全放心的</w:t>
            </w:r>
            <w:r>
              <w:rPr>
                <w:rFonts w:hint="eastAsia" w:asciiTheme="minorEastAsia" w:hAnsiTheme="minorEastAsia" w:eastAsiaTheme="minorEastAsia"/>
                <w:szCs w:val="21"/>
                <w:lang w:val="en-US" w:eastAsia="zh-CN"/>
              </w:rPr>
              <w:t>产品</w:t>
            </w:r>
            <w:r>
              <w:rPr>
                <w:rFonts w:hint="eastAsia" w:asciiTheme="minorEastAsia" w:hAnsiTheme="minorEastAsia" w:eastAsiaTheme="minorEastAsia"/>
                <w:szCs w:val="21"/>
                <w:lang w:eastAsia="zh-CN"/>
              </w:rPr>
              <w:t>，</w:t>
            </w:r>
          </w:p>
          <w:p>
            <w:pPr>
              <w:spacing w:line="280" w:lineRule="exact"/>
              <w:ind w:firstLine="420" w:firstLineChars="200"/>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滕志武 日期：202</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-07-30</w:t>
            </w:r>
            <w:r>
              <w:rPr>
                <w:rFonts w:hint="eastAsia" w:asciiTheme="minorEastAsia" w:hAnsiTheme="minorEastAsia" w:eastAsiaTheme="minorEastAsia"/>
                <w:szCs w:val="21"/>
                <w:lang w:eastAsia="zh-CN"/>
              </w:rPr>
              <w:t>。</w:t>
            </w:r>
          </w:p>
        </w:tc>
        <w:tc>
          <w:tcPr>
            <w:tcW w:w="1564"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0" w:type="auto"/>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改进总则</w:t>
            </w:r>
          </w:p>
          <w:p>
            <w:pPr>
              <w:spacing w:line="280" w:lineRule="exact"/>
              <w:rPr>
                <w:rFonts w:cs="Times New Roman" w:asciiTheme="minorEastAsia" w:hAnsiTheme="minorEastAsia" w:eastAsiaTheme="minorEastAsia"/>
                <w:kern w:val="2"/>
                <w:sz w:val="21"/>
                <w:lang w:val="en-US" w:eastAsia="zh-CN" w:bidi="ar-SA"/>
              </w:rPr>
            </w:pPr>
          </w:p>
        </w:tc>
        <w:tc>
          <w:tcPr>
            <w:tcW w:w="0" w:type="auto"/>
            <w:vAlign w:val="top"/>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 10.1</w:t>
            </w:r>
          </w:p>
          <w:p>
            <w:pPr>
              <w:spacing w:line="280" w:lineRule="exact"/>
              <w:rPr>
                <w:rFonts w:cs="Times New Roman" w:asciiTheme="minorEastAsia" w:hAnsiTheme="minorEastAsia" w:eastAsiaTheme="minorEastAsia"/>
                <w:kern w:val="2"/>
                <w:sz w:val="21"/>
                <w:lang w:val="en-US" w:eastAsia="zh-CN" w:bidi="ar-SA"/>
              </w:rPr>
            </w:pPr>
          </w:p>
        </w:tc>
        <w:tc>
          <w:tcPr>
            <w:tcW w:w="9875"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通过管理体系方针、目标、内部审核、管理评审、不合格和纠正措施各项要求落实，确定和选择改进机会，并采取必要措施确保相关改进活动得到有效开展，以满足顾客要求和增强顾客满意，实现环境管理体系预期结果。</w:t>
            </w:r>
          </w:p>
          <w:p>
            <w:pPr>
              <w:spacing w:line="280" w:lineRule="exact"/>
              <w:ind w:firstLine="420" w:firstLineChars="200"/>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包括改进产品和服务，纠正、预防或减少不利影响，改进体系绩效和有效性。</w:t>
            </w:r>
          </w:p>
        </w:tc>
        <w:tc>
          <w:tcPr>
            <w:tcW w:w="1564" w:type="dxa"/>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0" w:type="auto"/>
            <w:vAlign w:val="top"/>
          </w:tcPr>
          <w:p>
            <w:pPr>
              <w:spacing w:line="280" w:lineRule="exact"/>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持续改进</w:t>
            </w:r>
          </w:p>
        </w:tc>
        <w:tc>
          <w:tcPr>
            <w:tcW w:w="0" w:type="auto"/>
            <w:vAlign w:val="top"/>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 10.3</w:t>
            </w:r>
          </w:p>
          <w:p>
            <w:pPr>
              <w:spacing w:line="280" w:lineRule="exact"/>
              <w:rPr>
                <w:rFonts w:cs="Times New Roman" w:asciiTheme="minorEastAsia" w:hAnsiTheme="minorEastAsia" w:eastAsiaTheme="minorEastAsia"/>
                <w:kern w:val="2"/>
                <w:sz w:val="21"/>
                <w:lang w:val="en-US" w:eastAsia="zh-CN" w:bidi="ar-SA"/>
              </w:rPr>
            </w:pPr>
          </w:p>
        </w:tc>
        <w:tc>
          <w:tcPr>
            <w:tcW w:w="9875" w:type="dxa"/>
            <w:vAlign w:val="center"/>
          </w:tcPr>
          <w:p>
            <w:pPr>
              <w:spacing w:line="280" w:lineRule="exact"/>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 xml:space="preserve">  公司建立并实施《改进</w:t>
            </w:r>
            <w:r>
              <w:rPr>
                <w:rFonts w:hint="eastAsia" w:cs="宋体" w:asciiTheme="minorEastAsia" w:hAnsiTheme="minorEastAsia" w:eastAsiaTheme="minorEastAsia"/>
                <w:szCs w:val="21"/>
                <w:lang w:val="en-US" w:eastAsia="zh-CN"/>
              </w:rPr>
              <w:t>纠正措施</w:t>
            </w:r>
            <w:r>
              <w:rPr>
                <w:rFonts w:hint="eastAsia" w:cs="宋体" w:asciiTheme="minorEastAsia" w:hAnsiTheme="minorEastAsia" w:eastAsiaTheme="minorEastAsia"/>
                <w:szCs w:val="21"/>
              </w:rPr>
              <w:t>程序》，开展检查和考核工作、自查自纠及外部检查等形式，不断持续改进，提高顾客满意和环保绩效，持续改进管理体系的适宜性、充分性和有效性。</w:t>
            </w:r>
          </w:p>
        </w:tc>
        <w:tc>
          <w:tcPr>
            <w:tcW w:w="1564" w:type="dxa"/>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0" w:type="auto"/>
            <w:vAlign w:val="top"/>
          </w:tcPr>
          <w:p>
            <w:pPr>
              <w:spacing w:line="280" w:lineRule="exact"/>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资质有效性</w:t>
            </w:r>
          </w:p>
        </w:tc>
        <w:tc>
          <w:tcPr>
            <w:tcW w:w="0" w:type="auto"/>
            <w:vAlign w:val="top"/>
          </w:tcPr>
          <w:p>
            <w:pPr>
              <w:spacing w:line="280" w:lineRule="exact"/>
              <w:rPr>
                <w:rFonts w:cs="Times New Roman" w:asciiTheme="minorEastAsia" w:hAnsiTheme="minorEastAsia" w:eastAsiaTheme="minorEastAsia"/>
                <w:kern w:val="2"/>
                <w:sz w:val="21"/>
                <w:lang w:val="en-US" w:eastAsia="zh-CN" w:bidi="ar-SA"/>
              </w:rPr>
            </w:pPr>
          </w:p>
        </w:tc>
        <w:tc>
          <w:tcPr>
            <w:tcW w:w="9875" w:type="dxa"/>
            <w:vAlign w:val="center"/>
          </w:tcPr>
          <w:p>
            <w:pPr>
              <w:spacing w:line="280" w:lineRule="exact"/>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提供营业执照</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畜牧屠宰证、防疫证</w:t>
            </w:r>
            <w:r>
              <w:rPr>
                <w:rFonts w:hint="eastAsia" w:cs="宋体" w:asciiTheme="minorEastAsia" w:hAnsiTheme="minorEastAsia" w:eastAsiaTheme="minorEastAsia"/>
                <w:szCs w:val="21"/>
              </w:rPr>
              <w:t>在有效期内，</w:t>
            </w:r>
            <w:r>
              <w:rPr>
                <w:rFonts w:hint="eastAsia" w:cs="宋体" w:asciiTheme="minorEastAsia" w:hAnsiTheme="minorEastAsia" w:eastAsiaTheme="minorEastAsia"/>
                <w:szCs w:val="21"/>
                <w:lang w:val="en-US" w:eastAsia="zh-CN"/>
              </w:rPr>
              <w:t>营业执照</w:t>
            </w:r>
            <w:r>
              <w:rPr>
                <w:rFonts w:hint="eastAsia" w:cs="宋体" w:asciiTheme="minorEastAsia" w:hAnsiTheme="minorEastAsia" w:eastAsiaTheme="minorEastAsia"/>
                <w:szCs w:val="21"/>
              </w:rPr>
              <w:t>包含申请产品范围</w:t>
            </w:r>
          </w:p>
        </w:tc>
        <w:tc>
          <w:tcPr>
            <w:tcW w:w="1564" w:type="dxa"/>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0" w:type="auto"/>
            <w:vAlign w:val="top"/>
          </w:tcPr>
          <w:p>
            <w:pPr>
              <w:spacing w:line="280" w:lineRule="exact"/>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事故</w:t>
            </w:r>
          </w:p>
        </w:tc>
        <w:tc>
          <w:tcPr>
            <w:tcW w:w="0" w:type="auto"/>
            <w:vAlign w:val="top"/>
          </w:tcPr>
          <w:p>
            <w:pPr>
              <w:spacing w:line="280" w:lineRule="exact"/>
              <w:rPr>
                <w:rFonts w:cs="Times New Roman" w:asciiTheme="minorEastAsia" w:hAnsiTheme="minorEastAsia" w:eastAsiaTheme="minorEastAsia"/>
                <w:kern w:val="2"/>
                <w:sz w:val="21"/>
                <w:lang w:val="en-US" w:eastAsia="zh-CN" w:bidi="ar-SA"/>
              </w:rPr>
            </w:pPr>
          </w:p>
        </w:tc>
        <w:tc>
          <w:tcPr>
            <w:tcW w:w="9875" w:type="dxa"/>
            <w:vAlign w:val="center"/>
          </w:tcPr>
          <w:p>
            <w:pPr>
              <w:spacing w:line="280" w:lineRule="exact"/>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公司管理体系</w:t>
            </w:r>
            <w:r>
              <w:rPr>
                <w:rFonts w:hint="eastAsia" w:cs="宋体" w:asciiTheme="minorEastAsia" w:hAnsiTheme="minorEastAsia" w:eastAsiaTheme="minorEastAsia"/>
                <w:szCs w:val="21"/>
                <w:lang w:val="en-US" w:eastAsia="zh-CN"/>
              </w:rPr>
              <w:t>自上次审核至今</w:t>
            </w:r>
            <w:r>
              <w:rPr>
                <w:rFonts w:hint="eastAsia" w:cs="宋体" w:asciiTheme="minorEastAsia" w:hAnsiTheme="minorEastAsia" w:eastAsiaTheme="minorEastAsia"/>
                <w:szCs w:val="21"/>
              </w:rPr>
              <w:t>，未发生质量事故</w:t>
            </w:r>
          </w:p>
        </w:tc>
        <w:tc>
          <w:tcPr>
            <w:tcW w:w="1564" w:type="dxa"/>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0" w:type="auto"/>
            <w:vAlign w:val="top"/>
          </w:tcPr>
          <w:p>
            <w:pPr>
              <w:spacing w:line="280" w:lineRule="exact"/>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顾客满意、相关方投诉处理</w:t>
            </w:r>
          </w:p>
        </w:tc>
        <w:tc>
          <w:tcPr>
            <w:tcW w:w="0" w:type="auto"/>
            <w:vAlign w:val="top"/>
          </w:tcPr>
          <w:p>
            <w:pPr>
              <w:spacing w:line="280" w:lineRule="exact"/>
              <w:rPr>
                <w:rFonts w:cs="Times New Roman" w:asciiTheme="minorEastAsia" w:hAnsiTheme="minorEastAsia" w:eastAsiaTheme="minorEastAsia"/>
                <w:kern w:val="2"/>
                <w:sz w:val="21"/>
                <w:lang w:val="en-US" w:eastAsia="zh-CN" w:bidi="ar-SA"/>
              </w:rPr>
            </w:pPr>
          </w:p>
        </w:tc>
        <w:tc>
          <w:tcPr>
            <w:tcW w:w="9875" w:type="dxa"/>
            <w:vAlign w:val="center"/>
          </w:tcPr>
          <w:p>
            <w:pPr>
              <w:spacing w:line="280" w:lineRule="exact"/>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管理体系运行期间未发生顾客及相关方投诉情况，日常顾客反馈意见或建议已及时处理</w:t>
            </w:r>
          </w:p>
        </w:tc>
        <w:tc>
          <w:tcPr>
            <w:tcW w:w="1564" w:type="dxa"/>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0" w:type="auto"/>
            <w:vAlign w:val="top"/>
          </w:tcPr>
          <w:p>
            <w:pPr>
              <w:spacing w:line="280" w:lineRule="exact"/>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国家/地方抽查情况</w:t>
            </w:r>
          </w:p>
        </w:tc>
        <w:tc>
          <w:tcPr>
            <w:tcW w:w="0" w:type="auto"/>
            <w:vAlign w:val="top"/>
          </w:tcPr>
          <w:p>
            <w:pPr>
              <w:spacing w:line="280" w:lineRule="exact"/>
              <w:rPr>
                <w:rFonts w:cs="Times New Roman" w:asciiTheme="minorEastAsia" w:hAnsiTheme="minorEastAsia" w:eastAsiaTheme="minorEastAsia"/>
                <w:kern w:val="2"/>
                <w:sz w:val="21"/>
                <w:lang w:val="en-US" w:eastAsia="zh-CN" w:bidi="ar-SA"/>
              </w:rPr>
            </w:pPr>
          </w:p>
        </w:tc>
        <w:tc>
          <w:tcPr>
            <w:tcW w:w="9875" w:type="dxa"/>
            <w:vAlign w:val="center"/>
          </w:tcPr>
          <w:p>
            <w:pPr>
              <w:spacing w:line="280" w:lineRule="exact"/>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上级主管部门对公司的在质量监督抽查，没有提出书面问题</w:t>
            </w:r>
          </w:p>
        </w:tc>
        <w:tc>
          <w:tcPr>
            <w:tcW w:w="1564" w:type="dxa"/>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0" w:type="auto"/>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遵纪守法</w:t>
            </w:r>
          </w:p>
          <w:p>
            <w:pPr>
              <w:spacing w:line="280" w:lineRule="exact"/>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情况</w:t>
            </w:r>
          </w:p>
        </w:tc>
        <w:tc>
          <w:tcPr>
            <w:tcW w:w="0" w:type="auto"/>
            <w:vAlign w:val="top"/>
          </w:tcPr>
          <w:p>
            <w:pPr>
              <w:spacing w:line="280" w:lineRule="exact"/>
              <w:rPr>
                <w:rFonts w:cs="Times New Roman" w:asciiTheme="minorEastAsia" w:hAnsiTheme="minorEastAsia" w:eastAsiaTheme="minorEastAsia"/>
                <w:kern w:val="2"/>
                <w:sz w:val="21"/>
                <w:lang w:val="en-US" w:eastAsia="zh-CN" w:bidi="ar-SA"/>
              </w:rPr>
            </w:pPr>
          </w:p>
        </w:tc>
        <w:tc>
          <w:tcPr>
            <w:tcW w:w="9875" w:type="dxa"/>
            <w:vAlign w:val="center"/>
          </w:tcPr>
          <w:p>
            <w:pPr>
              <w:spacing w:line="280" w:lineRule="exact"/>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目前公司经营过程中没有发生违反相关法律法规及其他要求的情况</w:t>
            </w:r>
          </w:p>
        </w:tc>
        <w:tc>
          <w:tcPr>
            <w:tcW w:w="1564" w:type="dxa"/>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0" w:type="auto"/>
            <w:vAlign w:val="top"/>
          </w:tcPr>
          <w:p>
            <w:pPr>
              <w:spacing w:line="280" w:lineRule="exact"/>
              <w:rPr>
                <w:rFonts w:cs="Times New Roman" w:asciiTheme="minorEastAsia" w:hAnsiTheme="minorEastAsia" w:eastAsiaTheme="minorEastAsia"/>
                <w:kern w:val="2"/>
                <w:sz w:val="21"/>
                <w:lang w:val="en-US" w:eastAsia="zh-CN" w:bidi="ar-SA"/>
              </w:rPr>
            </w:pPr>
            <w:r>
              <w:rPr>
                <w:rFonts w:hint="eastAsia" w:cs="Arial" w:asciiTheme="minorEastAsia" w:hAnsiTheme="minorEastAsia" w:eastAsiaTheme="minorEastAsia"/>
                <w:spacing w:val="-6"/>
                <w:szCs w:val="24"/>
              </w:rPr>
              <w:t>审核问题的验证</w:t>
            </w:r>
          </w:p>
        </w:tc>
        <w:tc>
          <w:tcPr>
            <w:tcW w:w="0" w:type="auto"/>
            <w:vAlign w:val="top"/>
          </w:tcPr>
          <w:p>
            <w:pPr>
              <w:spacing w:line="280" w:lineRule="exact"/>
              <w:rPr>
                <w:rFonts w:cs="Times New Roman" w:asciiTheme="minorEastAsia" w:hAnsiTheme="minorEastAsia" w:eastAsiaTheme="minorEastAsia"/>
                <w:kern w:val="2"/>
                <w:sz w:val="21"/>
                <w:lang w:val="en-US" w:eastAsia="zh-CN" w:bidi="ar-SA"/>
              </w:rPr>
            </w:pPr>
          </w:p>
        </w:tc>
        <w:tc>
          <w:tcPr>
            <w:tcW w:w="9875" w:type="dxa"/>
            <w:vAlign w:val="center"/>
          </w:tcPr>
          <w:p>
            <w:pPr>
              <w:spacing w:line="280" w:lineRule="exact"/>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lang w:val="en-US" w:eastAsia="zh-CN"/>
              </w:rPr>
              <w:t>上次</w:t>
            </w:r>
            <w:r>
              <w:rPr>
                <w:rFonts w:hint="eastAsia" w:cs="宋体" w:asciiTheme="minorEastAsia" w:hAnsiTheme="minorEastAsia" w:eastAsiaTheme="minorEastAsia"/>
                <w:szCs w:val="21"/>
              </w:rPr>
              <w:t>审核提出的问题，已有效纠正，未重复发生</w:t>
            </w:r>
          </w:p>
        </w:tc>
        <w:tc>
          <w:tcPr>
            <w:tcW w:w="1564" w:type="dxa"/>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0" w:type="auto"/>
            <w:vAlign w:val="top"/>
          </w:tcPr>
          <w:p>
            <w:pPr>
              <w:spacing w:line="280" w:lineRule="exact"/>
              <w:rPr>
                <w:rFonts w:cs="Arial" w:asciiTheme="minorEastAsia" w:hAnsiTheme="minorEastAsia" w:eastAsiaTheme="minorEastAsia"/>
                <w:spacing w:val="-6"/>
                <w:kern w:val="2"/>
                <w:sz w:val="21"/>
                <w:szCs w:val="24"/>
                <w:lang w:val="en-US" w:eastAsia="zh-CN" w:bidi="ar-SA"/>
              </w:rPr>
            </w:pPr>
            <w:r>
              <w:rPr>
                <w:rFonts w:hint="eastAsia" w:cs="Arial" w:asciiTheme="minorEastAsia" w:hAnsiTheme="minorEastAsia" w:eastAsiaTheme="minorEastAsia"/>
                <w:spacing w:val="-6"/>
                <w:szCs w:val="24"/>
              </w:rPr>
              <w:t>变更</w:t>
            </w:r>
          </w:p>
        </w:tc>
        <w:tc>
          <w:tcPr>
            <w:tcW w:w="0" w:type="auto"/>
            <w:vAlign w:val="top"/>
          </w:tcPr>
          <w:p>
            <w:pPr>
              <w:spacing w:line="280" w:lineRule="exact"/>
              <w:rPr>
                <w:rFonts w:cs="Times New Roman" w:asciiTheme="minorEastAsia" w:hAnsiTheme="minorEastAsia" w:eastAsiaTheme="minorEastAsia"/>
                <w:kern w:val="2"/>
                <w:sz w:val="21"/>
                <w:lang w:val="en-US" w:eastAsia="zh-CN" w:bidi="ar-SA"/>
              </w:rPr>
            </w:pPr>
          </w:p>
        </w:tc>
        <w:tc>
          <w:tcPr>
            <w:tcW w:w="9875" w:type="dxa"/>
            <w:vAlign w:val="center"/>
          </w:tcPr>
          <w:p>
            <w:pPr>
              <w:spacing w:line="280" w:lineRule="exact"/>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无</w:t>
            </w:r>
          </w:p>
        </w:tc>
        <w:tc>
          <w:tcPr>
            <w:tcW w:w="1564" w:type="dxa"/>
          </w:tcPr>
          <w:p/>
        </w:tc>
      </w:tr>
    </w:tbl>
    <w:p>
      <w:r>
        <w:ptab w:relativeTo="margin" w:alignment="center" w:leader="none"/>
      </w:r>
    </w:p>
    <w:p/>
    <w:p/>
    <w:p>
      <w:pPr>
        <w:pStyle w:val="5"/>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D694FC"/>
    <w:multiLevelType w:val="singleLevel"/>
    <w:tmpl w:val="C7D694FC"/>
    <w:lvl w:ilvl="0" w:tentative="0">
      <w:start w:val="1"/>
      <w:numFmt w:val="lowerLetter"/>
      <w:lvlText w:val="%1."/>
      <w:lvlJc w:val="left"/>
      <w:pPr>
        <w:tabs>
          <w:tab w:val="left" w:pos="420"/>
        </w:tabs>
        <w:ind w:left="845" w:hanging="425"/>
      </w:pPr>
      <w:rPr>
        <w:rFonts w:hint="default"/>
      </w:rPr>
    </w:lvl>
  </w:abstractNum>
  <w:abstractNum w:abstractNumId="1">
    <w:nsid w:val="2D141BBB"/>
    <w:multiLevelType w:val="multilevel"/>
    <w:tmpl w:val="2D141BBB"/>
    <w:lvl w:ilvl="0" w:tentative="0">
      <w:start w:val="1"/>
      <w:numFmt w:val="decimal"/>
      <w:lvlText w:val="%1)"/>
      <w:lvlJc w:val="left"/>
      <w:pPr>
        <w:ind w:left="840" w:hanging="420"/>
      </w:pPr>
      <w:rPr>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68E53F4"/>
    <w:multiLevelType w:val="multilevel"/>
    <w:tmpl w:val="568E53F4"/>
    <w:lvl w:ilvl="0" w:tentative="0">
      <w:start w:val="1"/>
      <w:numFmt w:val="decimal"/>
      <w:lvlText w:val="%1)"/>
      <w:lvlJc w:val="left"/>
      <w:pPr>
        <w:ind w:left="840" w:hanging="420"/>
      </w:pPr>
      <w:rPr>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D9E098D"/>
    <w:multiLevelType w:val="multilevel"/>
    <w:tmpl w:val="6D9E098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741661"/>
    <w:rsid w:val="027A5BE9"/>
    <w:rsid w:val="03CF6DFD"/>
    <w:rsid w:val="044E00F7"/>
    <w:rsid w:val="04DD6546"/>
    <w:rsid w:val="06993195"/>
    <w:rsid w:val="074078DA"/>
    <w:rsid w:val="0765238C"/>
    <w:rsid w:val="07A8209F"/>
    <w:rsid w:val="09B62476"/>
    <w:rsid w:val="0C7928A5"/>
    <w:rsid w:val="0FE62766"/>
    <w:rsid w:val="10E67E1F"/>
    <w:rsid w:val="166224B5"/>
    <w:rsid w:val="17463CFF"/>
    <w:rsid w:val="182571C6"/>
    <w:rsid w:val="18D70C82"/>
    <w:rsid w:val="19452E5F"/>
    <w:rsid w:val="1B0B2C36"/>
    <w:rsid w:val="1B1541E1"/>
    <w:rsid w:val="1B401983"/>
    <w:rsid w:val="1CF1275D"/>
    <w:rsid w:val="1E7D0559"/>
    <w:rsid w:val="1EBA2962"/>
    <w:rsid w:val="1F645D37"/>
    <w:rsid w:val="20C300E3"/>
    <w:rsid w:val="20C47C56"/>
    <w:rsid w:val="212A6C99"/>
    <w:rsid w:val="23AA6FC5"/>
    <w:rsid w:val="24501982"/>
    <w:rsid w:val="25AE4C7C"/>
    <w:rsid w:val="26C974D7"/>
    <w:rsid w:val="273F1951"/>
    <w:rsid w:val="27830BC5"/>
    <w:rsid w:val="27FF6DFB"/>
    <w:rsid w:val="28CB37C3"/>
    <w:rsid w:val="2A374149"/>
    <w:rsid w:val="2A857203"/>
    <w:rsid w:val="2D1F7027"/>
    <w:rsid w:val="2DF63438"/>
    <w:rsid w:val="2E87191C"/>
    <w:rsid w:val="2F1A3B52"/>
    <w:rsid w:val="31F43F57"/>
    <w:rsid w:val="34AF62EE"/>
    <w:rsid w:val="36605502"/>
    <w:rsid w:val="36B349F7"/>
    <w:rsid w:val="37157F7A"/>
    <w:rsid w:val="37CB471E"/>
    <w:rsid w:val="385A0D74"/>
    <w:rsid w:val="39396450"/>
    <w:rsid w:val="3AA06355"/>
    <w:rsid w:val="3ACD0087"/>
    <w:rsid w:val="3C202203"/>
    <w:rsid w:val="3D39781E"/>
    <w:rsid w:val="3DF12C94"/>
    <w:rsid w:val="403A5A2B"/>
    <w:rsid w:val="42E875E0"/>
    <w:rsid w:val="439C41F8"/>
    <w:rsid w:val="43A2130B"/>
    <w:rsid w:val="45447BA7"/>
    <w:rsid w:val="4553685A"/>
    <w:rsid w:val="46481AB4"/>
    <w:rsid w:val="464F4C1E"/>
    <w:rsid w:val="47002E76"/>
    <w:rsid w:val="475E2438"/>
    <w:rsid w:val="47843AF3"/>
    <w:rsid w:val="48A4122E"/>
    <w:rsid w:val="49143FD0"/>
    <w:rsid w:val="49A81E1E"/>
    <w:rsid w:val="4ABD4309"/>
    <w:rsid w:val="4AD379FA"/>
    <w:rsid w:val="4B955ED6"/>
    <w:rsid w:val="4C300C3F"/>
    <w:rsid w:val="4C826838"/>
    <w:rsid w:val="4D4C1E84"/>
    <w:rsid w:val="4FD81591"/>
    <w:rsid w:val="508F1FF8"/>
    <w:rsid w:val="5094175F"/>
    <w:rsid w:val="50DF6147"/>
    <w:rsid w:val="51CA1F6A"/>
    <w:rsid w:val="525C0134"/>
    <w:rsid w:val="52CB4843"/>
    <w:rsid w:val="53A16E7F"/>
    <w:rsid w:val="53EF5D52"/>
    <w:rsid w:val="546D3263"/>
    <w:rsid w:val="553B6E63"/>
    <w:rsid w:val="570A12FB"/>
    <w:rsid w:val="57932AF6"/>
    <w:rsid w:val="5A7764E2"/>
    <w:rsid w:val="5AAE4EE0"/>
    <w:rsid w:val="5B0A0BAD"/>
    <w:rsid w:val="5CC864F5"/>
    <w:rsid w:val="5D7E6BE9"/>
    <w:rsid w:val="5DAB698D"/>
    <w:rsid w:val="5E9D0C96"/>
    <w:rsid w:val="5F327951"/>
    <w:rsid w:val="5FDE0414"/>
    <w:rsid w:val="6095078F"/>
    <w:rsid w:val="61830601"/>
    <w:rsid w:val="61CF4D37"/>
    <w:rsid w:val="64A337DE"/>
    <w:rsid w:val="65276199"/>
    <w:rsid w:val="65757E37"/>
    <w:rsid w:val="65944E20"/>
    <w:rsid w:val="65C52C96"/>
    <w:rsid w:val="68066E24"/>
    <w:rsid w:val="6AE60450"/>
    <w:rsid w:val="6AED64B0"/>
    <w:rsid w:val="6B3B56C0"/>
    <w:rsid w:val="6C6C0723"/>
    <w:rsid w:val="6C9C4473"/>
    <w:rsid w:val="6CA22E61"/>
    <w:rsid w:val="6D075867"/>
    <w:rsid w:val="6D257B59"/>
    <w:rsid w:val="6D6529F7"/>
    <w:rsid w:val="6EE7780B"/>
    <w:rsid w:val="703B7C1B"/>
    <w:rsid w:val="70B52235"/>
    <w:rsid w:val="71491BFE"/>
    <w:rsid w:val="72AE658B"/>
    <w:rsid w:val="76540674"/>
    <w:rsid w:val="773C6A2C"/>
    <w:rsid w:val="775005F1"/>
    <w:rsid w:val="78274603"/>
    <w:rsid w:val="79372220"/>
    <w:rsid w:val="798B236B"/>
    <w:rsid w:val="7A3A5E5D"/>
    <w:rsid w:val="7AA67240"/>
    <w:rsid w:val="7AC90F79"/>
    <w:rsid w:val="7B52625F"/>
    <w:rsid w:val="7C901177"/>
    <w:rsid w:val="7D1969F4"/>
    <w:rsid w:val="7E236123"/>
    <w:rsid w:val="7E352B6B"/>
    <w:rsid w:val="7F4E4265"/>
    <w:rsid w:val="7F5808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line="420" w:lineRule="exact"/>
    </w:pPr>
    <w:rPr>
      <w:sz w:val="2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6</TotalTime>
  <ScaleCrop>false</ScaleCrop>
  <LinksUpToDate>false</LinksUpToDate>
  <CharactersWithSpaces>147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汪桂丽</cp:lastModifiedBy>
  <dcterms:modified xsi:type="dcterms:W3CDTF">2021-09-23T14:05:11Z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2052-11.1.0.10938</vt:lpwstr>
  </property>
</Properties>
</file>