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947"/>
        <w:gridCol w:w="987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3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4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875" w:type="dxa"/>
            <w:vAlign w:val="center"/>
          </w:tcPr>
          <w:p>
            <w:pPr>
              <w:rPr>
                <w:sz w:val="24"/>
                <w:szCs w:val="24"/>
              </w:rPr>
            </w:pPr>
            <w:r>
              <w:rPr>
                <w:rFonts w:hint="eastAsia"/>
                <w:sz w:val="24"/>
                <w:szCs w:val="24"/>
              </w:rPr>
              <w:t>受审核部门：</w:t>
            </w:r>
            <w:r>
              <w:rPr>
                <w:rFonts w:hint="eastAsia"/>
                <w:sz w:val="24"/>
                <w:szCs w:val="24"/>
                <w:lang w:val="en-US" w:eastAsia="zh-CN"/>
              </w:rPr>
              <w:t>生产部</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 xml:space="preserve">李元忠、魏秀成 </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邵蒙 </w:t>
            </w:r>
          </w:p>
        </w:tc>
        <w:tc>
          <w:tcPr>
            <w:tcW w:w="15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32" w:type="dxa"/>
            <w:vMerge w:val="continue"/>
            <w:vAlign w:val="center"/>
          </w:tcPr>
          <w:p/>
        </w:tc>
        <w:tc>
          <w:tcPr>
            <w:tcW w:w="947" w:type="dxa"/>
            <w:vMerge w:val="continue"/>
            <w:vAlign w:val="center"/>
          </w:tcPr>
          <w:p/>
        </w:tc>
        <w:tc>
          <w:tcPr>
            <w:tcW w:w="9875" w:type="dxa"/>
            <w:vAlign w:val="center"/>
          </w:tcPr>
          <w:p>
            <w:pPr>
              <w:spacing w:before="120"/>
            </w:pPr>
            <w:r>
              <w:rPr>
                <w:rFonts w:hint="eastAsia"/>
                <w:sz w:val="24"/>
                <w:szCs w:val="24"/>
              </w:rPr>
              <w:t>审核员：</w:t>
            </w:r>
            <w:bookmarkStart w:id="0" w:name="审核组成员不含组长"/>
            <w:bookmarkEnd w:id="0"/>
            <w:r>
              <w:rPr>
                <w:rFonts w:hint="eastAsia"/>
                <w:sz w:val="24"/>
                <w:szCs w:val="24"/>
                <w:lang w:val="en-US" w:eastAsia="zh-CN"/>
              </w:rPr>
              <w:t>汪桂丽</w:t>
            </w:r>
            <w:r>
              <w:rPr>
                <w:rFonts w:hint="eastAsia"/>
                <w:sz w:val="24"/>
                <w:szCs w:val="24"/>
              </w:rPr>
              <w:t xml:space="preserve"> </w:t>
            </w:r>
            <w:r>
              <w:rPr>
                <w:sz w:val="24"/>
                <w:szCs w:val="24"/>
              </w:rPr>
              <w:t xml:space="preserve">        </w:t>
            </w:r>
            <w:r>
              <w:rPr>
                <w:rFonts w:hint="eastAsia"/>
                <w:sz w:val="24"/>
                <w:szCs w:val="24"/>
              </w:rPr>
              <w:t>审核时间：</w:t>
            </w:r>
            <w:bookmarkStart w:id="1" w:name="审核日期"/>
            <w:r>
              <w:rPr>
                <w:rFonts w:hint="eastAsia"/>
                <w:sz w:val="24"/>
                <w:szCs w:val="24"/>
                <w:lang w:val="en-US" w:eastAsia="zh-CN"/>
              </w:rPr>
              <w:t>2021年09月11日 下午</w:t>
            </w:r>
            <w:bookmarkEnd w:id="1"/>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132" w:type="dxa"/>
            <w:vMerge w:val="continue"/>
            <w:vAlign w:val="center"/>
          </w:tcPr>
          <w:p/>
        </w:tc>
        <w:tc>
          <w:tcPr>
            <w:tcW w:w="947" w:type="dxa"/>
            <w:vMerge w:val="continue"/>
            <w:vAlign w:val="center"/>
          </w:tcPr>
          <w:p/>
        </w:tc>
        <w:tc>
          <w:tcPr>
            <w:tcW w:w="9875" w:type="dxa"/>
            <w:vAlign w:val="center"/>
          </w:tcPr>
          <w:p>
            <w:pPr>
              <w:adjustRightInd w:val="0"/>
              <w:snapToGrid w:val="0"/>
              <w:ind w:right="105" w:rightChars="50"/>
              <w:jc w:val="left"/>
              <w:textAlignment w:val="baseline"/>
              <w:rPr>
                <w:rFonts w:hint="eastAsia"/>
              </w:rPr>
            </w:pPr>
            <w:r>
              <w:rPr>
                <w:rFonts w:hint="eastAsia"/>
              </w:rPr>
              <w:t>审核条款： 5.3组织的岗位、职责和权</w:t>
            </w:r>
            <w:r>
              <w:rPr>
                <w:rFonts w:hint="eastAsia" w:ascii="宋体" w:hAnsi="宋体"/>
                <w:sz w:val="21"/>
                <w:szCs w:val="21"/>
                <w:lang w:val="en-US" w:eastAsia="zh-CN"/>
              </w:rPr>
              <w:t>限、6.2质量目标、8.1运行策划、</w:t>
            </w:r>
            <w:r>
              <w:rPr>
                <w:rFonts w:hint="eastAsia" w:ascii="宋体" w:hAnsi="宋体" w:eastAsia="宋体"/>
                <w:sz w:val="21"/>
                <w:szCs w:val="21"/>
              </w:rPr>
              <w:t>8.</w:t>
            </w:r>
            <w:r>
              <w:rPr>
                <w:rFonts w:hint="eastAsia" w:ascii="宋体" w:hAnsi="宋体" w:eastAsia="宋体"/>
                <w:sz w:val="21"/>
                <w:szCs w:val="21"/>
                <w:lang w:eastAsia="zh-CN"/>
              </w:rPr>
              <w:t>5.</w:t>
            </w:r>
            <w:r>
              <w:rPr>
                <w:rFonts w:hint="eastAsia" w:ascii="宋体" w:hAnsi="宋体" w:eastAsia="宋体"/>
                <w:sz w:val="21"/>
                <w:szCs w:val="21"/>
              </w:rPr>
              <w:t>1</w:t>
            </w:r>
            <w:r>
              <w:rPr>
                <w:rFonts w:hint="eastAsia" w:ascii="宋体" w:hAnsi="宋体"/>
                <w:sz w:val="21"/>
                <w:szCs w:val="21"/>
              </w:rPr>
              <w:t>生产和服务提供控制</w:t>
            </w:r>
            <w:r>
              <w:rPr>
                <w:rFonts w:hint="eastAsia" w:ascii="宋体" w:hAnsi="宋体"/>
                <w:sz w:val="21"/>
                <w:szCs w:val="21"/>
                <w:lang w:eastAsia="zh-CN"/>
              </w:rPr>
              <w:t>、</w:t>
            </w:r>
            <w:r>
              <w:rPr>
                <w:rFonts w:hint="eastAsia" w:ascii="宋体" w:hAnsi="宋体" w:eastAsia="宋体"/>
                <w:sz w:val="21"/>
                <w:szCs w:val="21"/>
              </w:rPr>
              <w:t>8.</w:t>
            </w:r>
            <w:r>
              <w:rPr>
                <w:rFonts w:hint="eastAsia" w:ascii="宋体" w:hAnsi="宋体" w:eastAsia="宋体"/>
                <w:sz w:val="21"/>
                <w:szCs w:val="21"/>
                <w:lang w:eastAsia="zh-CN"/>
              </w:rPr>
              <w:t>5.</w:t>
            </w:r>
            <w:r>
              <w:rPr>
                <w:rFonts w:hint="eastAsia" w:ascii="宋体" w:hAnsi="宋体" w:eastAsia="宋体"/>
                <w:sz w:val="21"/>
                <w:szCs w:val="21"/>
                <w:lang w:val="en-US" w:eastAsia="zh-CN"/>
              </w:rPr>
              <w:t>4</w:t>
            </w:r>
            <w:r>
              <w:rPr>
                <w:rFonts w:hint="eastAsia" w:ascii="宋体" w:hAnsi="宋体"/>
                <w:sz w:val="21"/>
                <w:szCs w:val="21"/>
              </w:rPr>
              <w:t>防护</w:t>
            </w:r>
          </w:p>
        </w:tc>
        <w:tc>
          <w:tcPr>
            <w:tcW w:w="15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132" w:type="dxa"/>
            <w:vAlign w:val="center"/>
          </w:tcPr>
          <w:p>
            <w:pPr>
              <w:spacing w:line="360" w:lineRule="auto"/>
              <w:rPr>
                <w:rFonts w:cs="宋体" w:asciiTheme="minorEastAsia" w:hAnsiTheme="minorEastAsia" w:eastAsiaTheme="minorEastAsia"/>
                <w:kern w:val="2"/>
                <w:sz w:val="24"/>
                <w:szCs w:val="24"/>
                <w:lang w:val="en-US" w:eastAsia="zh-CN" w:bidi="ar-SA"/>
              </w:rPr>
            </w:pPr>
            <w:r>
              <w:rPr>
                <w:rFonts w:hint="eastAsia" w:eastAsia="宋体" w:cs="Times New Roman" w:asciiTheme="minorEastAsia" w:hAnsiTheme="minorEastAsia"/>
                <w:bCs/>
                <w:spacing w:val="10"/>
                <w:kern w:val="2"/>
                <w:sz w:val="21"/>
                <w:szCs w:val="21"/>
                <w:lang w:val="en-US" w:eastAsia="zh-CN" w:bidi="ar-SA"/>
              </w:rPr>
              <w:t>组织的岗位、职责和权限</w:t>
            </w:r>
          </w:p>
        </w:tc>
        <w:tc>
          <w:tcPr>
            <w:tcW w:w="947" w:type="dxa"/>
            <w:vAlign w:val="top"/>
          </w:tcPr>
          <w:p>
            <w:pPr>
              <w:spacing w:line="360" w:lineRule="auto"/>
              <w:ind w:right="-105"/>
              <w:jc w:val="left"/>
              <w:rPr>
                <w:rFonts w:ascii="宋体" w:hAnsi="宋体"/>
                <w:szCs w:val="21"/>
              </w:rPr>
            </w:pPr>
          </w:p>
          <w:p>
            <w:pPr>
              <w:spacing w:line="360" w:lineRule="auto"/>
              <w:ind w:right="-105" w:firstLine="210" w:firstLineChars="100"/>
              <w:jc w:val="left"/>
              <w:rPr>
                <w:rFonts w:cs="宋体" w:asciiTheme="minorEastAsia" w:hAnsiTheme="minorEastAsia" w:eastAsiaTheme="minorEastAsia"/>
                <w:kern w:val="2"/>
                <w:sz w:val="24"/>
                <w:szCs w:val="24"/>
                <w:lang w:val="en-US" w:eastAsia="zh-CN" w:bidi="ar-SA"/>
              </w:rPr>
            </w:pPr>
            <w:r>
              <w:rPr>
                <w:rFonts w:ascii="宋体" w:hAnsi="宋体"/>
                <w:szCs w:val="21"/>
              </w:rPr>
              <w:t>5.3</w:t>
            </w:r>
          </w:p>
        </w:tc>
        <w:tc>
          <w:tcPr>
            <w:tcW w:w="9875" w:type="dxa"/>
            <w:vAlign w:val="top"/>
          </w:tcPr>
          <w:p>
            <w:pPr>
              <w:keepNext w:val="0"/>
              <w:keepLines w:val="0"/>
              <w:pageBreakBefore w:val="0"/>
              <w:widowControl w:val="0"/>
              <w:kinsoku/>
              <w:wordWrap/>
              <w:overflowPunct/>
              <w:topLinePunct w:val="0"/>
              <w:autoSpaceDE/>
              <w:autoSpaceDN/>
              <w:bidi w:val="0"/>
              <w:adjustRightInd w:val="0"/>
              <w:snapToGrid w:val="0"/>
              <w:spacing w:line="300" w:lineRule="exact"/>
              <w:ind w:right="105" w:rightChars="50" w:firstLine="460" w:firstLineChars="200"/>
              <w:jc w:val="left"/>
              <w:textAlignment w:val="baseline"/>
              <w:rPr>
                <w:rFonts w:hint="eastAsia" w:eastAsia="宋体" w:cs="宋体" w:asciiTheme="minorEastAsia" w:hAnsiTheme="minorEastAsia"/>
                <w:kern w:val="2"/>
                <w:sz w:val="24"/>
                <w:szCs w:val="24"/>
                <w:lang w:val="en-US" w:eastAsia="zh-CN" w:bidi="ar-SA"/>
              </w:rPr>
            </w:pPr>
            <w:r>
              <w:rPr>
                <w:rFonts w:hint="eastAsia" w:eastAsia="宋体" w:cs="Times New Roman" w:asciiTheme="minorEastAsia" w:hAnsiTheme="minorEastAsia"/>
                <w:bCs/>
                <w:spacing w:val="10"/>
                <w:kern w:val="2"/>
                <w:sz w:val="21"/>
                <w:szCs w:val="21"/>
                <w:lang w:val="en-US" w:eastAsia="zh-CN" w:bidi="ar-SA"/>
              </w:rPr>
              <w:t>按计划生产并按规定做好生产记录；制订的设备、设施日常保养计划对设备进行保养；    保证工作环境符合生产规定要求；严格按产品工艺流程进行生产；对生产中的成品、半成品、不合格品等明确标识，按要求加以防护；对生产中发现不合格品时，除明确标识外，还应分析原因，采取纠正措施，以避免不合格品再发生；统计分析本部门质量目标达成情况。</w:t>
            </w:r>
          </w:p>
        </w:tc>
        <w:tc>
          <w:tcPr>
            <w:tcW w:w="1564" w:type="dxa"/>
          </w:tcPr>
          <w:p>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32" w:type="dxa"/>
            <w:vAlign w:val="center"/>
          </w:tcPr>
          <w:p>
            <w:pPr>
              <w:spacing w:line="360" w:lineRule="auto"/>
              <w:rPr>
                <w:rFonts w:cs="宋体" w:asciiTheme="minorEastAsia" w:hAnsiTheme="minorEastAsia" w:eastAsiaTheme="minorEastAsia"/>
                <w:kern w:val="2"/>
                <w:sz w:val="24"/>
                <w:szCs w:val="24"/>
                <w:lang w:val="en-US" w:eastAsia="zh-CN" w:bidi="ar-SA"/>
              </w:rPr>
            </w:pPr>
            <w:r>
              <w:rPr>
                <w:rFonts w:hint="eastAsia" w:eastAsia="宋体" w:cs="Times New Roman" w:asciiTheme="minorEastAsia" w:hAnsiTheme="minorEastAsia"/>
                <w:bCs/>
                <w:spacing w:val="10"/>
                <w:kern w:val="2"/>
                <w:sz w:val="21"/>
                <w:szCs w:val="21"/>
                <w:lang w:val="en-US" w:eastAsia="zh-CN" w:bidi="ar-SA"/>
              </w:rPr>
              <w:t>目标及其实现策划</w:t>
            </w:r>
          </w:p>
        </w:tc>
        <w:tc>
          <w:tcPr>
            <w:tcW w:w="947" w:type="dxa"/>
            <w:vAlign w:val="center"/>
          </w:tcPr>
          <w:p>
            <w:pPr>
              <w:spacing w:line="360" w:lineRule="auto"/>
              <w:ind w:right="-105"/>
              <w:jc w:val="left"/>
              <w:rPr>
                <w:rFonts w:ascii="宋体" w:hAnsi="宋体"/>
                <w:szCs w:val="21"/>
              </w:rPr>
            </w:pPr>
          </w:p>
          <w:p>
            <w:pPr>
              <w:spacing w:line="360" w:lineRule="auto"/>
              <w:ind w:right="-105"/>
              <w:jc w:val="left"/>
              <w:rPr>
                <w:rFonts w:ascii="宋体" w:hAnsi="宋体"/>
                <w:szCs w:val="21"/>
              </w:rPr>
            </w:pPr>
            <w:r>
              <w:rPr>
                <w:rFonts w:ascii="宋体" w:hAnsi="宋体"/>
                <w:szCs w:val="21"/>
              </w:rPr>
              <w:t xml:space="preserve"> </w:t>
            </w:r>
            <w:r>
              <w:rPr>
                <w:rFonts w:hint="eastAsia" w:ascii="宋体" w:hAnsi="宋体"/>
                <w:szCs w:val="21"/>
                <w:lang w:val="en-US" w:eastAsia="zh-CN"/>
              </w:rPr>
              <w:t xml:space="preserve"> </w:t>
            </w:r>
            <w:r>
              <w:rPr>
                <w:rFonts w:ascii="宋体" w:hAnsi="宋体"/>
                <w:szCs w:val="21"/>
              </w:rPr>
              <w:t>6.2</w:t>
            </w:r>
          </w:p>
          <w:p>
            <w:pPr>
              <w:spacing w:line="360" w:lineRule="auto"/>
              <w:ind w:right="-105" w:rightChars="0" w:firstLine="420" w:firstLineChars="0"/>
              <w:jc w:val="left"/>
              <w:rPr>
                <w:rFonts w:cs="宋体" w:asciiTheme="minorEastAsia" w:hAnsiTheme="minorEastAsia" w:eastAsiaTheme="minorEastAsia"/>
                <w:kern w:val="2"/>
                <w:sz w:val="24"/>
                <w:szCs w:val="24"/>
                <w:lang w:val="en-US" w:eastAsia="zh-CN" w:bidi="ar-SA"/>
              </w:rPr>
            </w:pPr>
          </w:p>
        </w:tc>
        <w:tc>
          <w:tcPr>
            <w:tcW w:w="9875" w:type="dxa"/>
            <w:vAlign w:val="center"/>
          </w:tcPr>
          <w:p>
            <w:pPr>
              <w:pStyle w:val="2"/>
              <w:ind w:firstLine="460" w:firstLineChars="200"/>
              <w:rPr>
                <w:rFonts w:hint="eastAsia" w:asciiTheme="minorEastAsia" w:hAnsiTheme="minorEastAsia"/>
                <w:szCs w:val="21"/>
                <w:lang w:val="en-US" w:eastAsia="zh-CN"/>
              </w:rPr>
            </w:pPr>
            <w:r>
              <w:rPr>
                <w:rFonts w:hint="eastAsia" w:asciiTheme="minorEastAsia" w:hAnsiTheme="minorEastAsia"/>
                <w:szCs w:val="21"/>
                <w:lang w:val="en-US" w:eastAsia="zh-CN"/>
              </w:rPr>
              <w:t>提供生产部分解质量目标4项；</w:t>
            </w:r>
          </w:p>
          <w:p>
            <w:pPr>
              <w:pStyle w:val="2"/>
              <w:ind w:firstLine="460" w:firstLineChars="200"/>
              <w:rPr>
                <w:rFonts w:hint="default" w:asciiTheme="minorEastAsia" w:hAnsiTheme="minorEastAsia"/>
                <w:szCs w:val="21"/>
                <w:lang w:val="en-US" w:eastAsia="zh-CN"/>
              </w:rPr>
            </w:pPr>
            <w:r>
              <w:rPr>
                <w:rFonts w:hint="eastAsia" w:asciiTheme="minorEastAsia" w:hAnsiTheme="minorEastAsia"/>
                <w:szCs w:val="21"/>
                <w:lang w:val="en-US" w:eastAsia="zh-CN"/>
              </w:rPr>
              <w:t>有2021年1-8月部门分解目标考核记录，目标、指示均达成，完成如下：</w:t>
            </w:r>
          </w:p>
          <w:p>
            <w:pPr>
              <w:pStyle w:val="2"/>
              <w:ind w:firstLine="460" w:firstLineChars="200"/>
              <w:rPr>
                <w:rFonts w:hint="eastAsia" w:asciiTheme="minorEastAsia" w:hAnsiTheme="minorEastAsia"/>
                <w:szCs w:val="21"/>
                <w:lang w:val="en-US" w:eastAsia="zh-CN"/>
              </w:rPr>
            </w:pPr>
            <w:r>
              <w:rPr>
                <w:rFonts w:hint="eastAsia" w:asciiTheme="minorEastAsia" w:hAnsiTheme="minorEastAsia"/>
                <w:szCs w:val="21"/>
                <w:lang w:val="en-US" w:eastAsia="zh-CN"/>
              </w:rPr>
              <w:t>100%按计划完成生产；   设备完好有效率99%；</w:t>
            </w:r>
          </w:p>
          <w:p>
            <w:pPr>
              <w:spacing w:line="360" w:lineRule="auto"/>
              <w:ind w:right="-105" w:rightChars="0" w:firstLine="420" w:firstLineChars="0"/>
              <w:jc w:val="left"/>
              <w:rPr>
                <w:rFonts w:hint="eastAsia" w:cs="宋体" w:asciiTheme="minorEastAsia" w:hAnsiTheme="minorEastAsia" w:eastAsiaTheme="minorEastAsia"/>
                <w:kern w:val="2"/>
                <w:sz w:val="24"/>
                <w:szCs w:val="24"/>
                <w:lang w:val="en-US" w:eastAsia="zh-CN" w:bidi="ar-SA"/>
              </w:rPr>
            </w:pPr>
            <w:r>
              <w:rPr>
                <w:rFonts w:hint="eastAsia" w:asciiTheme="minorEastAsia" w:hAnsiTheme="minorEastAsia"/>
                <w:szCs w:val="21"/>
                <w:lang w:val="en-US" w:eastAsia="zh-CN"/>
              </w:rPr>
              <w:t>生产环境100%符合卫生要求；    屠宰过程100%检疫/检验；</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2132" w:type="dxa"/>
            <w:vAlign w:val="center"/>
          </w:tcPr>
          <w:p>
            <w:pPr>
              <w:spacing w:line="360" w:lineRule="auto"/>
              <w:ind w:right="-105" w:rightChars="0"/>
              <w:jc w:val="left"/>
              <w:rPr>
                <w:rFonts w:hint="default" w:ascii="宋体" w:hAnsi="宋体"/>
                <w:szCs w:val="21"/>
                <w:lang w:val="en-US"/>
              </w:rPr>
            </w:pPr>
            <w:r>
              <w:rPr>
                <w:rFonts w:hint="eastAsia" w:ascii="宋体" w:hAnsi="宋体"/>
                <w:sz w:val="21"/>
                <w:szCs w:val="21"/>
                <w:lang w:val="en-US" w:eastAsia="zh-CN"/>
              </w:rPr>
              <w:t>运行策划控制</w:t>
            </w:r>
          </w:p>
        </w:tc>
        <w:tc>
          <w:tcPr>
            <w:tcW w:w="947" w:type="dxa"/>
            <w:vAlign w:val="center"/>
          </w:tcPr>
          <w:p>
            <w:pPr>
              <w:spacing w:line="360" w:lineRule="auto"/>
              <w:ind w:right="-105" w:rightChars="0" w:firstLine="210" w:firstLineChars="100"/>
              <w:jc w:val="left"/>
              <w:rPr>
                <w:rFonts w:ascii="宋体" w:hAnsi="宋体"/>
                <w:szCs w:val="21"/>
              </w:rPr>
            </w:pPr>
            <w:r>
              <w:rPr>
                <w:rFonts w:ascii="宋体" w:hAnsi="宋体"/>
                <w:szCs w:val="21"/>
              </w:rPr>
              <w:t>8.</w:t>
            </w:r>
            <w:r>
              <w:rPr>
                <w:rFonts w:hint="eastAsia" w:ascii="宋体" w:hAnsi="宋体"/>
                <w:szCs w:val="21"/>
                <w:lang w:val="en-US" w:eastAsia="zh-CN"/>
              </w:rPr>
              <w:t>1</w:t>
            </w:r>
          </w:p>
        </w:tc>
        <w:tc>
          <w:tcPr>
            <w:tcW w:w="9875" w:type="dxa"/>
            <w:vAlign w:val="center"/>
          </w:tcPr>
          <w:p>
            <w:pPr>
              <w:pStyle w:val="2"/>
              <w:ind w:firstLine="460" w:firstLineChars="200"/>
              <w:rPr>
                <w:rFonts w:hint="eastAsia" w:ascii="宋体" w:hAnsi="宋体"/>
                <w:szCs w:val="21"/>
                <w:lang w:val="en-US" w:eastAsia="zh-CN"/>
              </w:rPr>
            </w:pPr>
            <w:r>
              <w:rPr>
                <w:rFonts w:hint="eastAsia" w:ascii="宋体" w:hAnsi="宋体"/>
                <w:szCs w:val="21"/>
                <w:lang w:val="en-US" w:eastAsia="zh-CN"/>
              </w:rPr>
              <w:t>公司按《运行策划控制程序》执行，对以下所需的过程进行策划、实施和控制：</w:t>
            </w:r>
          </w:p>
          <w:p>
            <w:pPr>
              <w:pStyle w:val="2"/>
              <w:ind w:firstLine="460" w:firstLineChars="200"/>
              <w:rPr>
                <w:rFonts w:hint="eastAsia" w:ascii="宋体" w:hAnsi="宋体"/>
                <w:szCs w:val="21"/>
                <w:lang w:val="en-US" w:eastAsia="zh-CN"/>
              </w:rPr>
            </w:pPr>
            <w:r>
              <w:rPr>
                <w:rFonts w:hint="eastAsia" w:ascii="宋体" w:hAnsi="宋体"/>
                <w:szCs w:val="21"/>
                <w:lang w:val="en-US" w:eastAsia="zh-CN"/>
              </w:rPr>
              <w:t>a）确定产品和服务的要求；  b）建立下列内容的准则：过程（标准要求的 &amp; 组织认为应该建立的）及其目标；产品、过程和服务的接收准则。</w:t>
            </w:r>
          </w:p>
          <w:p>
            <w:pPr>
              <w:pStyle w:val="2"/>
              <w:ind w:leftChars="200"/>
              <w:rPr>
                <w:rFonts w:hint="eastAsia" w:ascii="宋体" w:hAnsi="宋体"/>
                <w:szCs w:val="21"/>
                <w:lang w:val="en-US" w:eastAsia="zh-CN"/>
              </w:rPr>
            </w:pPr>
            <w:r>
              <w:rPr>
                <w:rFonts w:hint="eastAsia" w:ascii="宋体" w:hAnsi="宋体"/>
                <w:szCs w:val="21"/>
                <w:lang w:val="en-US" w:eastAsia="zh-CN"/>
              </w:rPr>
              <w:t>c）确定符合产品实现过程和服务要求所需的资源；</w:t>
            </w:r>
          </w:p>
          <w:p>
            <w:pPr>
              <w:pStyle w:val="2"/>
              <w:ind w:leftChars="200"/>
              <w:rPr>
                <w:rFonts w:hint="eastAsia" w:ascii="宋体" w:hAnsi="宋体"/>
                <w:szCs w:val="21"/>
                <w:lang w:val="en-US" w:eastAsia="zh-CN"/>
              </w:rPr>
            </w:pPr>
            <w:r>
              <w:rPr>
                <w:rFonts w:hint="eastAsia" w:ascii="宋体" w:hAnsi="宋体"/>
                <w:szCs w:val="21"/>
                <w:lang w:val="en-US" w:eastAsia="zh-CN"/>
              </w:rPr>
              <w:t>d）按照准则实施过程控制；</w:t>
            </w:r>
          </w:p>
          <w:p>
            <w:pPr>
              <w:pStyle w:val="2"/>
              <w:ind w:left="880" w:leftChars="200" w:hanging="460" w:hangingChars="200"/>
              <w:rPr>
                <w:rFonts w:hint="eastAsia" w:ascii="宋体" w:hAnsi="宋体"/>
                <w:szCs w:val="21"/>
                <w:lang w:val="en-US" w:eastAsia="zh-CN"/>
              </w:rPr>
            </w:pPr>
            <w:r>
              <w:rPr>
                <w:rFonts w:hint="eastAsia" w:ascii="宋体" w:hAnsi="宋体"/>
                <w:szCs w:val="21"/>
                <w:lang w:val="en-US" w:eastAsia="zh-CN"/>
              </w:rPr>
              <w:t>e）在必要的范围和程度上，确定并保持、保留形成文件的信息：确信过程已经按策划进行；证实产品和服务符合要求。</w:t>
            </w:r>
          </w:p>
          <w:p>
            <w:pPr>
              <w:pStyle w:val="2"/>
              <w:ind w:leftChars="200"/>
              <w:rPr>
                <w:rFonts w:hint="eastAsia" w:ascii="宋体" w:hAnsi="宋体"/>
                <w:szCs w:val="21"/>
                <w:lang w:val="en-US" w:eastAsia="zh-CN"/>
              </w:rPr>
            </w:pPr>
            <w:r>
              <w:rPr>
                <w:rFonts w:hint="eastAsia" w:ascii="宋体" w:hAnsi="宋体"/>
                <w:szCs w:val="21"/>
                <w:lang w:val="en-US" w:eastAsia="zh-CN"/>
              </w:rPr>
              <w:t>策划的输出以适合公司的运行需要为原则，控制策划的变更，评审非预期变更的后果，必要时，采取措施减轻不利影响</w:t>
            </w:r>
          </w:p>
          <w:p>
            <w:pPr>
              <w:pStyle w:val="2"/>
              <w:ind w:leftChars="200"/>
              <w:rPr>
                <w:rFonts w:hint="default" w:ascii="宋体" w:hAnsi="宋体"/>
                <w:szCs w:val="21"/>
                <w:lang w:val="en-US" w:eastAsia="zh-CN"/>
              </w:rPr>
            </w:pPr>
            <w:r>
              <w:rPr>
                <w:rFonts w:hint="eastAsia" w:ascii="宋体" w:hAnsi="宋体"/>
                <w:szCs w:val="21"/>
                <w:lang w:val="en-US" w:eastAsia="zh-CN"/>
              </w:rPr>
              <w:t>公司提供羊屠宰、猪屠宰工艺流程图、操作规程，无外包过程。</w:t>
            </w:r>
          </w:p>
          <w:p>
            <w:pPr>
              <w:pStyle w:val="2"/>
              <w:ind w:leftChars="200"/>
              <w:rPr>
                <w:rFonts w:hint="eastAsia" w:ascii="宋体" w:hAnsi="宋体"/>
                <w:szCs w:val="21"/>
                <w:lang w:val="en-US" w:eastAsia="zh-CN"/>
              </w:rPr>
            </w:pPr>
            <w:r>
              <w:rPr>
                <w:rFonts w:hint="eastAsia" w:ascii="宋体" w:hAnsi="宋体"/>
                <w:szCs w:val="21"/>
                <w:lang w:val="en-US" w:eastAsia="zh-CN"/>
              </w:rPr>
              <w:t>产品执行的相关标准有：</w:t>
            </w:r>
          </w:p>
          <w:p>
            <w:pPr>
              <w:pStyle w:val="2"/>
              <w:ind w:leftChars="200"/>
              <w:rPr>
                <w:rFonts w:hint="default" w:ascii="宋体" w:hAnsi="宋体"/>
                <w:szCs w:val="21"/>
                <w:lang w:val="en-US" w:eastAsia="zh-CN"/>
              </w:rPr>
            </w:pPr>
            <w:r>
              <w:rPr>
                <w:rFonts w:hint="eastAsia"/>
                <w:color w:val="auto"/>
                <w:szCs w:val="21"/>
                <w:lang w:val="en-US" w:eastAsia="zh-CN"/>
              </w:rPr>
              <w:t>《鲜（冻）胴体羊肉》</w:t>
            </w:r>
            <w:r>
              <w:rPr>
                <w:rFonts w:hint="eastAsia" w:ascii="宋体" w:hAnsi="宋体" w:eastAsia="宋体" w:cs="宋体"/>
                <w:color w:val="auto"/>
                <w:kern w:val="0"/>
                <w:szCs w:val="21"/>
                <w:lang w:val="en-US" w:eastAsia="zh-CN"/>
              </w:rPr>
              <w:t>GB9961-2001、《</w:t>
            </w:r>
            <w:r>
              <w:rPr>
                <w:rFonts w:hint="eastAsia" w:ascii="宋体" w:hAnsi="宋体" w:cs="宋体"/>
                <w:color w:val="auto"/>
                <w:kern w:val="0"/>
                <w:szCs w:val="21"/>
              </w:rPr>
              <w:t>鲜、冻片猪肉</w:t>
            </w:r>
            <w:r>
              <w:rPr>
                <w:rFonts w:hint="eastAsia" w:ascii="宋体" w:hAnsi="宋体" w:cs="宋体"/>
                <w:color w:val="auto"/>
                <w:kern w:val="0"/>
                <w:szCs w:val="21"/>
                <w:lang w:eastAsia="zh-CN"/>
              </w:rPr>
              <w:t>》</w:t>
            </w:r>
            <w:r>
              <w:rPr>
                <w:rFonts w:hint="eastAsia" w:ascii="宋体" w:hAnsi="宋体" w:cs="宋体"/>
                <w:color w:val="auto"/>
                <w:kern w:val="0"/>
                <w:szCs w:val="21"/>
              </w:rPr>
              <w:t>GB</w:t>
            </w:r>
            <w:r>
              <w:rPr>
                <w:rFonts w:hint="eastAsia" w:ascii="宋体" w:hAnsi="宋体" w:cs="宋体"/>
                <w:color w:val="auto"/>
                <w:kern w:val="0"/>
                <w:szCs w:val="21"/>
                <w:lang w:val="en-US" w:eastAsia="zh-CN"/>
              </w:rPr>
              <w:t>/T</w:t>
            </w:r>
            <w:r>
              <w:rPr>
                <w:rFonts w:hint="eastAsia" w:ascii="宋体" w:hAnsi="宋体" w:cs="宋体"/>
                <w:color w:val="auto"/>
                <w:kern w:val="0"/>
                <w:szCs w:val="21"/>
              </w:rPr>
              <w:t xml:space="preserve"> 9959.1-20</w:t>
            </w:r>
            <w:r>
              <w:rPr>
                <w:rFonts w:hint="eastAsia" w:ascii="宋体" w:hAnsi="宋体" w:cs="宋体"/>
                <w:color w:val="auto"/>
                <w:kern w:val="0"/>
                <w:szCs w:val="21"/>
                <w:lang w:val="en-US" w:eastAsia="zh-CN"/>
              </w:rPr>
              <w:t>19</w:t>
            </w:r>
            <w:r>
              <w:rPr>
                <w:rFonts w:hint="eastAsia" w:ascii="宋体" w:hAnsi="宋体" w:cs="宋体"/>
                <w:color w:val="auto"/>
                <w:kern w:val="0"/>
                <w:szCs w:val="21"/>
                <w:lang w:eastAsia="zh-CN"/>
              </w:rPr>
              <w:t>、</w:t>
            </w:r>
            <w:r>
              <w:rPr>
                <w:rFonts w:hint="eastAsia" w:ascii="宋体" w:hAnsi="宋体"/>
                <w:szCs w:val="21"/>
                <w:lang w:val="en-US" w:eastAsia="zh-CN"/>
              </w:rPr>
              <w:t>GB 16549-2001《畜禽产地检疫规范》、《</w:t>
            </w:r>
            <w:r>
              <w:rPr>
                <w:rFonts w:hint="eastAsia" w:ascii="宋体" w:hAnsi="宋体" w:cs="宋体"/>
                <w:color w:val="auto"/>
                <w:kern w:val="0"/>
                <w:szCs w:val="21"/>
              </w:rPr>
              <w:t>分割鲜、冻猪瘦肉</w:t>
            </w:r>
            <w:r>
              <w:rPr>
                <w:rFonts w:hint="eastAsia" w:ascii="宋体" w:hAnsi="宋体" w:cs="宋体"/>
                <w:color w:val="auto"/>
                <w:kern w:val="0"/>
                <w:szCs w:val="21"/>
                <w:lang w:eastAsia="zh-CN"/>
              </w:rPr>
              <w:t>》</w:t>
            </w:r>
            <w:r>
              <w:rPr>
                <w:rFonts w:hint="eastAsia" w:ascii="宋体" w:hAnsi="宋体" w:cs="宋体"/>
                <w:color w:val="auto"/>
                <w:kern w:val="0"/>
                <w:szCs w:val="21"/>
              </w:rPr>
              <w:t>GB/T 9959.2－2008</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鲜、冻猪肉及猪副产品》</w:t>
            </w:r>
            <w:r>
              <w:rPr>
                <w:rFonts w:hint="eastAsia" w:ascii="宋体" w:hAnsi="宋体" w:cs="宋体"/>
                <w:color w:val="auto"/>
                <w:kern w:val="0"/>
                <w:szCs w:val="21"/>
              </w:rPr>
              <w:t>GB/T 9959.</w:t>
            </w:r>
            <w:r>
              <w:rPr>
                <w:rFonts w:hint="eastAsia" w:ascii="宋体" w:hAnsi="宋体" w:cs="宋体"/>
                <w:color w:val="auto"/>
                <w:kern w:val="0"/>
                <w:szCs w:val="21"/>
                <w:lang w:val="en-US" w:eastAsia="zh-CN"/>
              </w:rPr>
              <w:t>4</w:t>
            </w:r>
            <w:r>
              <w:rPr>
                <w:rFonts w:hint="eastAsia" w:ascii="宋体" w:hAnsi="宋体" w:cs="宋体"/>
                <w:color w:val="auto"/>
                <w:kern w:val="0"/>
                <w:szCs w:val="21"/>
              </w:rPr>
              <w:t>－</w:t>
            </w:r>
            <w:r>
              <w:rPr>
                <w:rFonts w:hint="eastAsia" w:ascii="宋体" w:hAnsi="宋体" w:cs="宋体"/>
                <w:color w:val="auto"/>
                <w:kern w:val="0"/>
                <w:szCs w:val="21"/>
                <w:lang w:val="en-US" w:eastAsia="zh-CN"/>
              </w:rPr>
              <w:t>2019、</w:t>
            </w:r>
            <w:r>
              <w:rPr>
                <w:rFonts w:hint="eastAsia" w:ascii="宋体" w:hAnsi="宋体"/>
                <w:szCs w:val="21"/>
                <w:lang w:val="en-US" w:eastAsia="zh-CN"/>
              </w:rPr>
              <w:t xml:space="preserve">GB18393-2001《牛羊屠宰检验检疫规则》                                                                NY 467-2001《畜禽屠宰卫生检疫规范》  </w:t>
            </w:r>
          </w:p>
          <w:p>
            <w:pPr>
              <w:pStyle w:val="2"/>
              <w:ind w:leftChars="200"/>
              <w:rPr>
                <w:rFonts w:hint="eastAsia" w:ascii="宋体" w:hAnsi="宋体"/>
                <w:szCs w:val="21"/>
                <w:lang w:val="en-US" w:eastAsia="zh-CN"/>
              </w:rPr>
            </w:pPr>
            <w:r>
              <w:rPr>
                <w:rFonts w:hint="eastAsia" w:ascii="宋体" w:hAnsi="宋体"/>
                <w:szCs w:val="21"/>
                <w:lang w:val="en-US" w:eastAsia="zh-CN"/>
              </w:rPr>
              <w:t xml:space="preserve">经识别明确公司关键过程，无需确认过程 </w:t>
            </w:r>
          </w:p>
        </w:tc>
        <w:tc>
          <w:tcPr>
            <w:tcW w:w="1564" w:type="dxa"/>
          </w:tcPr>
          <w:p>
            <w:pPr>
              <w:rPr>
                <w:rFonts w:hint="eastAsia" w:eastAsia="宋体"/>
                <w:lang w:val="en-US" w:eastAsia="zh-CN"/>
              </w:rPr>
            </w:pPr>
            <w:r>
              <w:rPr>
                <w:rFonts w:hint="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2132" w:type="dxa"/>
            <w:vAlign w:val="center"/>
          </w:tcPr>
          <w:p>
            <w:pPr>
              <w:spacing w:line="360" w:lineRule="auto"/>
              <w:ind w:right="-105" w:rightChars="0"/>
              <w:jc w:val="left"/>
              <w:rPr>
                <w:rFonts w:cs="宋体" w:asciiTheme="minorEastAsia" w:hAnsiTheme="minorEastAsia" w:eastAsiaTheme="minorEastAsia"/>
                <w:kern w:val="2"/>
                <w:sz w:val="24"/>
                <w:szCs w:val="24"/>
                <w:lang w:val="en-US" w:eastAsia="zh-CN" w:bidi="ar-SA"/>
              </w:rPr>
            </w:pPr>
            <w:r>
              <w:rPr>
                <w:rFonts w:hint="eastAsia"/>
                <w:lang w:val="en-US" w:eastAsia="zh-CN"/>
              </w:rPr>
              <w:t>生产和服务提供的控制</w:t>
            </w:r>
          </w:p>
        </w:tc>
        <w:tc>
          <w:tcPr>
            <w:tcW w:w="947" w:type="dxa"/>
            <w:vAlign w:val="center"/>
          </w:tcPr>
          <w:p>
            <w:pPr>
              <w:spacing w:line="360" w:lineRule="auto"/>
              <w:ind w:right="-105" w:rightChars="0"/>
              <w:jc w:val="left"/>
              <w:rPr>
                <w:rFonts w:hint="eastAsia" w:eastAsia="宋体" w:cs="宋体" w:asciiTheme="minorEastAsia" w:hAnsiTheme="minorEastAsia"/>
                <w:kern w:val="2"/>
                <w:sz w:val="24"/>
                <w:szCs w:val="24"/>
                <w:lang w:val="en-US" w:eastAsia="zh-CN" w:bidi="ar-SA"/>
              </w:rPr>
            </w:pPr>
            <w:r>
              <w:rPr>
                <w:rFonts w:ascii="宋体" w:hAnsi="宋体"/>
                <w:szCs w:val="21"/>
              </w:rPr>
              <w:t>8.</w:t>
            </w:r>
            <w:r>
              <w:rPr>
                <w:rFonts w:hint="eastAsia" w:ascii="宋体" w:hAnsi="宋体"/>
                <w:szCs w:val="21"/>
                <w:lang w:val="en-US" w:eastAsia="zh-CN"/>
              </w:rPr>
              <w:t>5</w:t>
            </w:r>
            <w:r>
              <w:rPr>
                <w:rFonts w:ascii="宋体" w:hAnsi="宋体"/>
                <w:szCs w:val="21"/>
              </w:rPr>
              <w:t>.</w:t>
            </w:r>
            <w:r>
              <w:rPr>
                <w:rFonts w:hint="eastAsia" w:ascii="宋体" w:hAnsi="宋体"/>
                <w:szCs w:val="21"/>
                <w:lang w:val="en-US" w:eastAsia="zh-CN"/>
              </w:rPr>
              <w:t>1</w:t>
            </w:r>
          </w:p>
        </w:tc>
        <w:tc>
          <w:tcPr>
            <w:tcW w:w="9875" w:type="dxa"/>
            <w:vAlign w:val="center"/>
          </w:tcPr>
          <w:p>
            <w:pPr>
              <w:spacing w:line="360" w:lineRule="auto"/>
              <w:ind w:right="-105" w:firstLine="420"/>
              <w:jc w:val="left"/>
              <w:rPr>
                <w:rFonts w:hint="eastAsia"/>
                <w:lang w:val="en-US" w:eastAsia="zh-CN"/>
              </w:rPr>
            </w:pPr>
            <w:r>
              <w:rPr>
                <w:rFonts w:hint="eastAsia"/>
                <w:lang w:val="en-US" w:eastAsia="zh-CN"/>
              </w:rPr>
              <w:t>公司执行《生产和服务提供控制程序》，依据供销部下达生产计划组织生产并在每日生产结束后形成生产报表；班前作业人员进行全部卫生检查确认，班后及时清洁、消毒；做好设备维护保养，确保运行正常，生产过程中的半成品、成品按规定做好搬运、包装、防护工作；</w:t>
            </w:r>
          </w:p>
          <w:p>
            <w:pPr>
              <w:spacing w:line="360" w:lineRule="auto"/>
              <w:ind w:right="-105" w:firstLine="420"/>
              <w:jc w:val="left"/>
              <w:rPr>
                <w:rFonts w:hint="default"/>
                <w:lang w:val="en-US" w:eastAsia="zh-CN"/>
              </w:rPr>
            </w:pPr>
            <w:r>
              <w:rPr>
                <w:rFonts w:hint="eastAsia"/>
                <w:lang w:val="en-US" w:eastAsia="zh-CN"/>
              </w:rPr>
              <w:t>生猪、羊屠宰按工艺流程、加工工艺操作规程执行。</w:t>
            </w:r>
          </w:p>
          <w:p>
            <w:pPr>
              <w:spacing w:line="360" w:lineRule="auto"/>
              <w:ind w:right="-105" w:firstLine="420"/>
              <w:jc w:val="left"/>
              <w:rPr>
                <w:rFonts w:hint="eastAsia"/>
                <w:lang w:val="en-US" w:eastAsia="zh-CN"/>
              </w:rPr>
            </w:pPr>
            <w:r>
              <w:rPr>
                <w:rFonts w:hint="eastAsia"/>
                <w:lang w:val="en-US" w:eastAsia="zh-CN"/>
              </w:rPr>
              <w:t>对进出人员进行管理，有登记表，抽9月5日、7日均提供，记录到厂时间、车号、姓名、身份证、电话、体温、已消毒；</w:t>
            </w:r>
          </w:p>
          <w:p>
            <w:pPr>
              <w:pStyle w:val="2"/>
              <w:rPr>
                <w:rFonts w:hint="eastAsia"/>
                <w:lang w:val="en-US" w:eastAsia="zh-CN"/>
              </w:rPr>
            </w:pPr>
            <w:r>
              <w:rPr>
                <w:rFonts w:hint="eastAsia"/>
                <w:lang w:val="en-US" w:eastAsia="zh-CN"/>
              </w:rPr>
              <w:t xml:space="preserve">   抽查王国庆、刘恩有、刘喜员、柳长生、王海燕均提供健康体检合格证，2021年9月1日发证，发证机构：阿荣旗疾病预防控制中心；</w:t>
            </w:r>
          </w:p>
          <w:p>
            <w:pPr>
              <w:spacing w:line="360" w:lineRule="auto"/>
              <w:ind w:right="-105" w:firstLine="420"/>
              <w:jc w:val="left"/>
              <w:rPr>
                <w:rFonts w:hint="eastAsia"/>
                <w:lang w:val="en-US" w:eastAsia="zh-CN"/>
              </w:rPr>
            </w:pPr>
            <w:r>
              <w:rPr>
                <w:rFonts w:hint="eastAsia"/>
                <w:lang w:val="en-US" w:eastAsia="zh-CN"/>
              </w:rPr>
              <w:t>关键控制点制程记录</w:t>
            </w:r>
          </w:p>
          <w:p>
            <w:pPr>
              <w:pStyle w:val="2"/>
              <w:ind w:firstLine="500"/>
              <w:rPr>
                <w:rFonts w:hint="eastAsia"/>
                <w:lang w:val="en-US" w:eastAsia="zh-CN"/>
              </w:rPr>
            </w:pPr>
            <w:r>
              <w:rPr>
                <w:rFonts w:hint="eastAsia"/>
                <w:lang w:val="en-US" w:eastAsia="zh-CN"/>
              </w:rPr>
              <w:t>抽2021.5  2021.7  2021.8对关键控制点逐只检查情况、申报受理、心肺肝肾脾脏、胃肠、淋巴均提供控制抽查记录，记录抽检确认情况，结果符合要求；记录人：邵蒙，批准：腾志武，记录时间；</w:t>
            </w:r>
          </w:p>
          <w:p>
            <w:pPr>
              <w:pStyle w:val="2"/>
              <w:ind w:firstLine="500"/>
              <w:rPr>
                <w:rFonts w:hint="default"/>
                <w:lang w:val="en-US" w:eastAsia="zh-CN"/>
              </w:rPr>
            </w:pPr>
            <w:r>
              <w:rPr>
                <w:rFonts w:hint="eastAsia"/>
                <w:lang w:val="en-US" w:eastAsia="zh-CN"/>
              </w:rPr>
              <w:t>需确认过程：无</w:t>
            </w:r>
          </w:p>
          <w:p>
            <w:pPr>
              <w:spacing w:line="360" w:lineRule="auto"/>
              <w:ind w:right="-105" w:firstLine="420"/>
              <w:jc w:val="left"/>
              <w:rPr>
                <w:rFonts w:hint="eastAsia"/>
                <w:lang w:val="en-US" w:eastAsia="zh-CN"/>
              </w:rPr>
            </w:pPr>
            <w:r>
              <w:rPr>
                <w:rFonts w:hint="eastAsia"/>
                <w:lang w:val="en-US" w:eastAsia="zh-CN"/>
              </w:rPr>
              <w:t>提供卫生管理执行卫生消杀管理制度，查消毒记录表：</w:t>
            </w:r>
          </w:p>
          <w:p>
            <w:pPr>
              <w:pStyle w:val="2"/>
              <w:rPr>
                <w:rFonts w:hint="eastAsia"/>
                <w:lang w:val="en-US" w:eastAsia="zh-CN"/>
              </w:rPr>
            </w:pPr>
            <w:r>
              <w:rPr>
                <w:rFonts w:hint="eastAsia"/>
                <w:lang w:val="en-US" w:eastAsia="zh-CN"/>
              </w:rPr>
              <w:t xml:space="preserve">   抽2021年3月5日、6月28日、8月15日，均提供车间、设备、工具、推车工作台或产品中框、饲料圈消毒记录，记录消毒剂名称、浓度、方式/消毒时间，消毒人；</w:t>
            </w:r>
          </w:p>
          <w:p>
            <w:pPr>
              <w:pStyle w:val="2"/>
              <w:rPr>
                <w:rFonts w:hint="default"/>
                <w:lang w:val="en-US" w:eastAsia="zh-CN"/>
              </w:rPr>
            </w:pPr>
            <w:r>
              <w:rPr>
                <w:rFonts w:hint="eastAsia"/>
                <w:lang w:val="en-US" w:eastAsia="zh-CN"/>
              </w:rPr>
              <w:t xml:space="preserve">   异物防控执行防止异物污染管理制度，现场观察人员着工装和发网、工作鞋，配戴手套，物品定置放置，生产线运行正常，未发现异物风险；</w:t>
            </w:r>
          </w:p>
          <w:p>
            <w:pPr>
              <w:pStyle w:val="2"/>
              <w:ind w:firstLine="46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水质控制：</w:t>
            </w:r>
          </w:p>
          <w:p>
            <w:pPr>
              <w:pStyle w:val="2"/>
              <w:ind w:firstLine="460" w:firstLineChars="200"/>
              <w:rPr>
                <w:rFonts w:hint="eastAsia" w:ascii="宋体" w:hAnsi="宋体" w:cs="宋体"/>
                <w:sz w:val="21"/>
                <w:szCs w:val="21"/>
                <w:lang w:val="en-US" w:eastAsia="zh-CN"/>
              </w:rPr>
            </w:pPr>
            <w:r>
              <w:rPr>
                <w:rFonts w:hint="eastAsia" w:ascii="宋体" w:hAnsi="宋体" w:eastAsia="宋体" w:cs="宋体"/>
                <w:sz w:val="21"/>
                <w:szCs w:val="21"/>
                <w:lang w:val="en-US" w:eastAsia="zh-CN"/>
              </w:rPr>
              <w:t>提供水质卫生检测报告 样品末梢水，被检单位：兴源肉联厂，检测无异常达到国家生活饮用水卫生标准，检测机构阿荣旗疾病预防控制中心 有效期到2022年4月26日</w:t>
            </w:r>
            <w:r>
              <w:rPr>
                <w:rFonts w:hint="eastAsia" w:ascii="宋体" w:hAnsi="宋体" w:cs="宋体"/>
                <w:sz w:val="21"/>
                <w:szCs w:val="21"/>
                <w:lang w:val="en-US" w:eastAsia="zh-CN"/>
              </w:rPr>
              <w:t>；</w:t>
            </w:r>
          </w:p>
          <w:p>
            <w:pPr>
              <w:pStyle w:val="2"/>
              <w:ind w:firstLine="460" w:firstLineChars="200"/>
              <w:rPr>
                <w:rFonts w:hint="eastAsia" w:ascii="宋体" w:hAnsi="宋体" w:cs="宋体"/>
                <w:sz w:val="21"/>
                <w:szCs w:val="21"/>
                <w:lang w:val="en-US" w:eastAsia="zh-CN"/>
              </w:rPr>
            </w:pPr>
            <w:r>
              <w:rPr>
                <w:rFonts w:hint="eastAsia" w:ascii="宋体" w:hAnsi="宋体" w:cs="宋体"/>
                <w:sz w:val="21"/>
                <w:szCs w:val="21"/>
                <w:lang w:val="en-US" w:eastAsia="zh-CN"/>
              </w:rPr>
              <w:t>配备防虫、防鼠设施，正常使用中，车间对外人流、物流通道日常需注意做好防护；</w:t>
            </w:r>
          </w:p>
          <w:p>
            <w:pPr>
              <w:pStyle w:val="2"/>
              <w:ind w:firstLine="460" w:firstLineChars="200"/>
              <w:rPr>
                <w:rFonts w:hint="default" w:ascii="宋体" w:hAnsi="宋体" w:cs="宋体"/>
                <w:color w:val="0000FF"/>
                <w:sz w:val="21"/>
                <w:szCs w:val="21"/>
                <w:lang w:val="en-US" w:eastAsia="zh-CN"/>
              </w:rPr>
            </w:pPr>
            <w:r>
              <w:rPr>
                <w:rFonts w:hint="eastAsia" w:ascii="宋体" w:hAnsi="宋体" w:cs="宋体"/>
                <w:color w:val="0000FF"/>
                <w:sz w:val="21"/>
                <w:szCs w:val="21"/>
                <w:lang w:val="en-US" w:eastAsia="zh-CN"/>
              </w:rPr>
              <w:t>但抽查9月初防虫防鼠情况，未提供出生产车间已实施检查情况有关记录；</w:t>
            </w:r>
          </w:p>
          <w:p>
            <w:pPr>
              <w:pStyle w:val="2"/>
              <w:ind w:firstLine="500"/>
              <w:rPr>
                <w:rFonts w:hint="eastAsia"/>
                <w:lang w:val="en-US" w:eastAsia="zh-CN"/>
              </w:rPr>
            </w:pPr>
            <w:r>
              <w:rPr>
                <w:rFonts w:hint="eastAsia"/>
                <w:lang w:val="en-US" w:eastAsia="zh-CN"/>
              </w:rPr>
              <w:t>现场查看各区域分区明确，设备运行正常，各工序人员、工器具、台面及加工环境均无异常；</w:t>
            </w:r>
          </w:p>
          <w:p>
            <w:pPr>
              <w:pStyle w:val="2"/>
              <w:ind w:firstLine="500"/>
              <w:rPr>
                <w:rFonts w:hint="eastAsia"/>
                <w:lang w:val="en-US" w:eastAsia="zh-CN"/>
              </w:rPr>
            </w:pPr>
            <w:r>
              <w:rPr>
                <w:rFonts w:hint="eastAsia"/>
                <w:lang w:val="en-US" w:eastAsia="zh-CN"/>
              </w:rPr>
              <w:t>现场操作按生产管理制度和操作规程：</w:t>
            </w:r>
          </w:p>
          <w:p>
            <w:pPr>
              <w:pStyle w:val="2"/>
              <w:ind w:firstLine="500"/>
              <w:rPr>
                <w:rFonts w:hint="eastAsia"/>
                <w:lang w:val="en-US" w:eastAsia="zh-CN"/>
              </w:rPr>
            </w:pPr>
            <w:r>
              <w:rPr>
                <w:rFonts w:hint="eastAsia"/>
                <w:lang w:val="en-US" w:eastAsia="zh-CN"/>
              </w:rPr>
              <w:t>11上午工人正在工作，工人将活羊以宰前处理和宰前检验后淋洗干净，接着按规定宰杀、放血，然后预剥羊皮，割去羊头及前后蹄，留下背部的皮由扯皮机扯下。而后开膛、取出内脏，进行必要的修整和冲淋。再对胴体、头、蹄和内脏进行同步检验，合格胴体经称重后进入冷却间冷却并排酸。</w:t>
            </w:r>
          </w:p>
          <w:p>
            <w:pPr>
              <w:pStyle w:val="2"/>
              <w:ind w:firstLine="500"/>
              <w:rPr>
                <w:rFonts w:hint="default"/>
                <w:lang w:val="en-US" w:eastAsia="zh-CN"/>
              </w:rPr>
            </w:pPr>
            <w:r>
              <w:rPr>
                <w:rFonts w:hint="eastAsia"/>
                <w:lang w:val="en-US" w:eastAsia="zh-CN"/>
              </w:rPr>
              <w:t>现场工人正在工作，猪宰前处理和宰前检验及淋浴，按规定制动麻电、宰杀放血，烫毛，割去猪头及前后蹄，而后开膛、取出内脏，进行必要的修整和冲淋。再对头、蹄和内脏进行同步检验，合格经称重后进入冷却间冷却并排酸。</w:t>
            </w:r>
          </w:p>
          <w:p>
            <w:pPr>
              <w:spacing w:line="360" w:lineRule="auto"/>
              <w:ind w:right="-105" w:rightChars="0" w:firstLine="420" w:firstLineChars="0"/>
              <w:jc w:val="left"/>
              <w:rPr>
                <w:rFonts w:hint="default" w:eastAsia="宋体"/>
                <w:lang w:val="en-US" w:eastAsia="zh-CN"/>
              </w:rPr>
            </w:pPr>
            <w:r>
              <w:rPr>
                <w:rFonts w:hint="eastAsia"/>
                <w:lang w:val="en-US" w:eastAsia="zh-CN"/>
              </w:rPr>
              <w:t>生产和服务过程控制</w:t>
            </w:r>
            <w:r>
              <w:t>符合要求。</w:t>
            </w:r>
            <w:r>
              <w:rPr>
                <w:rFonts w:hint="eastAsia" w:ascii="宋体" w:hAnsi="宋体"/>
                <w:szCs w:val="21"/>
                <w:lang w:val="en-US" w:eastAsia="zh-CN"/>
              </w:rPr>
              <w:t xml:space="preserve">    </w:t>
            </w:r>
          </w:p>
        </w:tc>
        <w:tc>
          <w:tcPr>
            <w:tcW w:w="1564" w:type="dxa"/>
          </w:tcPr>
          <w:p>
            <w:pPr>
              <w:rPr>
                <w:rFonts w:hint="eastAsia"/>
                <w:lang w:val="en-US" w:eastAsia="zh-CN"/>
              </w:rPr>
            </w:pPr>
            <w:r>
              <w:rPr>
                <w:rFonts w:hint="eastAsia"/>
                <w:lang w:val="en-US" w:eastAsia="zh-CN"/>
              </w:rPr>
              <w:t>OK</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N</w:t>
            </w:r>
          </w:p>
          <w:p>
            <w:pPr>
              <w:pStyle w:val="2"/>
              <w:rPr>
                <w:rFonts w:hint="default"/>
                <w:lang w:val="en-US" w:eastAsia="zh-CN"/>
              </w:rPr>
            </w:pPr>
            <w:r>
              <w:rPr>
                <w:rFonts w:hint="eastAsia"/>
                <w:lang w:val="en-US" w:eastAsia="zh-CN"/>
              </w:rPr>
              <w:t>OK</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32" w:type="dxa"/>
            <w:vAlign w:val="center"/>
          </w:tcPr>
          <w:p>
            <w:pPr>
              <w:spacing w:line="360" w:lineRule="auto"/>
              <w:ind w:right="-105" w:rightChars="0"/>
              <w:jc w:val="left"/>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防护</w:t>
            </w:r>
          </w:p>
        </w:tc>
        <w:tc>
          <w:tcPr>
            <w:tcW w:w="947" w:type="dxa"/>
            <w:vAlign w:val="top"/>
          </w:tcPr>
          <w:p>
            <w:pPr>
              <w:spacing w:line="360" w:lineRule="auto"/>
              <w:ind w:right="-105"/>
              <w:jc w:val="left"/>
              <w:rPr>
                <w:rFonts w:ascii="宋体" w:hAnsi="宋体"/>
                <w:szCs w:val="21"/>
              </w:rPr>
            </w:pPr>
          </w:p>
          <w:p>
            <w:pPr>
              <w:spacing w:line="360" w:lineRule="auto"/>
              <w:ind w:right="-105"/>
              <w:jc w:val="left"/>
              <w:rPr>
                <w:rFonts w:hint="eastAsia" w:ascii="宋体" w:hAnsi="宋体" w:eastAsia="宋体"/>
                <w:szCs w:val="21"/>
                <w:lang w:val="en-US" w:eastAsia="zh-CN"/>
              </w:rPr>
            </w:pPr>
            <w:r>
              <w:rPr>
                <w:rFonts w:ascii="宋体" w:hAnsi="宋体"/>
                <w:szCs w:val="21"/>
              </w:rPr>
              <w:t>8.5.</w:t>
            </w:r>
            <w:r>
              <w:rPr>
                <w:rFonts w:hint="eastAsia" w:ascii="宋体" w:hAnsi="宋体"/>
                <w:szCs w:val="21"/>
                <w:lang w:val="en-US" w:eastAsia="zh-CN"/>
              </w:rPr>
              <w:t>4</w:t>
            </w:r>
          </w:p>
          <w:p>
            <w:pPr>
              <w:spacing w:line="360" w:lineRule="auto"/>
              <w:ind w:right="-105" w:rightChars="0"/>
              <w:jc w:val="left"/>
              <w:rPr>
                <w:rFonts w:cs="宋体" w:asciiTheme="minorEastAsia" w:hAnsiTheme="minorEastAsia" w:eastAsiaTheme="minorEastAsia"/>
                <w:kern w:val="2"/>
                <w:sz w:val="21"/>
                <w:szCs w:val="21"/>
                <w:lang w:val="en-US" w:eastAsia="zh-CN" w:bidi="ar-SA"/>
              </w:rPr>
            </w:pPr>
          </w:p>
        </w:tc>
        <w:tc>
          <w:tcPr>
            <w:tcW w:w="9875" w:type="dxa"/>
            <w:vAlign w:val="top"/>
          </w:tcPr>
          <w:p>
            <w:pPr>
              <w:spacing w:line="360" w:lineRule="auto"/>
              <w:ind w:right="-105" w:rightChars="0" w:firstLine="420" w:firstLineChars="0"/>
              <w:jc w:val="left"/>
              <w:rPr>
                <w:rFonts w:hint="eastAsia"/>
                <w:lang w:val="en-US" w:eastAsia="zh-CN"/>
              </w:rPr>
            </w:pPr>
            <w:r>
              <w:rPr>
                <w:rFonts w:hint="eastAsia"/>
                <w:lang w:val="en-US" w:eastAsia="zh-CN"/>
              </w:rPr>
              <w:t>防护执行《GB16548-2006 病害动物和病害动物产品生物安全处理规程》、《GB/T 20799-2006 鲜、冻肉运输条件》、《GBT 20094-2006 屠宰和肉类加工厂企业卫生注册管理规范》</w:t>
            </w:r>
          </w:p>
          <w:p>
            <w:pPr>
              <w:pStyle w:val="2"/>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包装采用塑料膜/袋进行包装防护，规范标识/标识贴；采用链条/小推车周转；</w:t>
            </w:r>
          </w:p>
          <w:p>
            <w:pPr>
              <w:pStyle w:val="2"/>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有两个冷库，现场查看运行正常；</w:t>
            </w:r>
          </w:p>
          <w:p>
            <w:pPr>
              <w:pStyle w:val="2"/>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提供冷库贮存明细帐，有日常入库、出库记录；</w:t>
            </w:r>
          </w:p>
          <w:p>
            <w:pPr>
              <w:pStyle w:val="2"/>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有</w:t>
            </w:r>
            <w:r>
              <w:rPr>
                <w:rFonts w:hint="eastAsia"/>
              </w:rPr>
              <w:t>2021年1月</w:t>
            </w:r>
            <w:r>
              <w:rPr>
                <w:rFonts w:hint="eastAsia"/>
                <w:lang w:val="en-US" w:eastAsia="zh-CN"/>
              </w:rPr>
              <w:t>28日、4月30日、7月1入库记录，有</w:t>
            </w:r>
            <w:r>
              <w:rPr>
                <w:rFonts w:hint="eastAsia" w:cs="宋体" w:asciiTheme="minorEastAsia" w:hAnsiTheme="minorEastAsia" w:eastAsiaTheme="minorEastAsia"/>
                <w:kern w:val="2"/>
                <w:sz w:val="21"/>
                <w:szCs w:val="21"/>
                <w:lang w:val="en-US" w:eastAsia="zh-CN" w:bidi="ar-SA"/>
              </w:rPr>
              <w:t>2021年9月11日、8月9日产品出库记录，记录客户名称、联系方式、产品名称、数量、检验合格信息等，基本信息；</w:t>
            </w:r>
          </w:p>
          <w:p>
            <w:pPr>
              <w:pStyle w:val="2"/>
              <w:keepNext w:val="0"/>
              <w:keepLines w:val="0"/>
              <w:pageBreakBefore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查制冷间交接班记录：有8月24日、7月1日、3月5日记录，记录交接内容：压缩机运行正常、辅助设备运行正常、库房库温正常；</w:t>
            </w:r>
          </w:p>
          <w:p>
            <w:pPr>
              <w:pStyle w:val="6"/>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w:t>
            </w:r>
            <w:r>
              <w:rPr>
                <w:rFonts w:hint="eastAsia" w:cs="宋体" w:asciiTheme="minorEastAsia" w:hAnsiTheme="minorEastAsia" w:eastAsiaTheme="minorEastAsia"/>
                <w:bCs/>
                <w:spacing w:val="10"/>
                <w:kern w:val="2"/>
                <w:sz w:val="21"/>
                <w:szCs w:val="21"/>
                <w:lang w:val="en-US" w:eastAsia="zh-CN" w:bidi="ar-SA"/>
              </w:rPr>
              <w:t xml:space="preserve"> 提供有冷藏过程作业指导书：冷藏库温设定在0～4 ℃，冷藏库应定期清洗消毒。</w:t>
            </w:r>
          </w:p>
          <w:p>
            <w:pPr>
              <w:pStyle w:val="6"/>
              <w:keepNext w:val="0"/>
              <w:keepLines w:val="0"/>
              <w:pageBreakBefore w:val="0"/>
              <w:kinsoku/>
              <w:wordWrap/>
              <w:overflowPunct/>
              <w:topLinePunct w:val="0"/>
              <w:autoSpaceDE/>
              <w:autoSpaceDN/>
              <w:bidi w:val="0"/>
              <w:adjustRightInd/>
              <w:snapToGrid/>
              <w:spacing w:beforeAutospacing="0" w:afterAutospacing="0" w:line="240" w:lineRule="exact"/>
              <w:ind w:leftChars="100" w:firstLine="230" w:firstLineChars="100"/>
              <w:textAlignment w:val="auto"/>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入库后立即进入速冷，进行第一次冷却排酸、温度保持在-28℃。以表面形成冰膜为度。</w:t>
            </w:r>
          </w:p>
          <w:p>
            <w:pPr>
              <w:pStyle w:val="6"/>
              <w:keepNext w:val="0"/>
              <w:keepLines w:val="0"/>
              <w:pageBreakBefore w:val="0"/>
              <w:kinsoku/>
              <w:wordWrap/>
              <w:overflowPunct/>
              <w:topLinePunct w:val="0"/>
              <w:autoSpaceDE/>
              <w:autoSpaceDN/>
              <w:bidi w:val="0"/>
              <w:adjustRightInd/>
              <w:snapToGrid/>
              <w:spacing w:beforeAutospacing="0" w:afterAutospacing="0" w:line="240" w:lineRule="exact"/>
              <w:ind w:leftChars="100" w:firstLine="230" w:firstLineChars="100"/>
              <w:textAlignment w:val="auto"/>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转入平衡间（平衡间温度0～4℃），进行第二次冷却排酸。在平衡间冷却16～18小时。</w:t>
            </w:r>
          </w:p>
          <w:p>
            <w:pPr>
              <w:keepNext w:val="0"/>
              <w:keepLines w:val="0"/>
              <w:pageBreakBefore w:val="0"/>
              <w:kinsoku/>
              <w:wordWrap/>
              <w:overflowPunct/>
              <w:topLinePunct w:val="0"/>
              <w:autoSpaceDE/>
              <w:autoSpaceDN/>
              <w:bidi w:val="0"/>
              <w:adjustRightInd/>
              <w:snapToGrid/>
              <w:spacing w:line="240" w:lineRule="exact"/>
              <w:ind w:firstLine="230" w:firstLineChars="100"/>
              <w:textAlignment w:val="auto"/>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查冷藏温度记录   提供：2021年9月8~11日  示值温度-4℃，此温度保持整个冷藏期间。</w:t>
            </w:r>
          </w:p>
          <w:p>
            <w:pPr>
              <w:keepNext w:val="0"/>
              <w:keepLines w:val="0"/>
              <w:pageBreakBefore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 xml:space="preserve">   现场提供温度实时监测记录  监测间隔：4小时 速冷温度符合性    现场可见冷库墙外有温度计示值温度-28℃，此温度保持整个冷藏期间。</w:t>
            </w:r>
          </w:p>
          <w:p>
            <w:pPr>
              <w:keepNext w:val="0"/>
              <w:keepLines w:val="0"/>
              <w:pageBreakBefore w:val="0"/>
              <w:kinsoku/>
              <w:wordWrap/>
              <w:overflowPunct/>
              <w:topLinePunct w:val="0"/>
              <w:autoSpaceDE/>
              <w:autoSpaceDN/>
              <w:bidi w:val="0"/>
              <w:adjustRightInd/>
              <w:snapToGrid/>
              <w:spacing w:line="240" w:lineRule="exact"/>
              <w:ind w:firstLine="460" w:firstLineChars="200"/>
              <w:textAlignment w:val="auto"/>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 xml:space="preserve">速冷时间：85±5min     速冷完成确认：中心温度 ≧-28℃   </w:t>
            </w:r>
          </w:p>
          <w:p>
            <w:pPr>
              <w:keepNext w:val="0"/>
              <w:keepLines w:val="0"/>
              <w:pageBreakBefore w:val="0"/>
              <w:kinsoku/>
              <w:wordWrap/>
              <w:overflowPunct/>
              <w:topLinePunct w:val="0"/>
              <w:autoSpaceDE/>
              <w:autoSpaceDN/>
              <w:bidi w:val="0"/>
              <w:adjustRightInd/>
              <w:snapToGrid/>
              <w:spacing w:line="240" w:lineRule="exact"/>
              <w:ind w:firstLine="460" w:firstLineChars="200"/>
              <w:textAlignment w:val="auto"/>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平衡间温度控制    温度监测仪表  示值温度-4℃，此温度保持整个冷藏期间。</w:t>
            </w:r>
          </w:p>
          <w:p>
            <w:pPr>
              <w:pStyle w:val="2"/>
              <w:ind w:leftChars="100" w:firstLine="230" w:firstLineChars="100"/>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 xml:space="preserve">温度平衡覆盖时间：16~18小时     确认人：魏秀成     </w:t>
            </w:r>
          </w:p>
          <w:p>
            <w:pPr>
              <w:pStyle w:val="2"/>
              <w:rPr>
                <w:rFonts w:hint="eastAsia" w:cs="宋体" w:asciiTheme="minorEastAsia" w:hAnsiTheme="minorEastAsia" w:eastAsiaTheme="minorEastAsia"/>
                <w:bCs/>
                <w:spacing w:val="10"/>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 xml:space="preserve">   现场查看冷库物品码垛摆放整齐，标识明确，产品防护完好。</w:t>
            </w:r>
          </w:p>
          <w:p>
            <w:pPr>
              <w:pStyle w:val="2"/>
              <w:rPr>
                <w:rFonts w:hint="default" w:ascii="宋体" w:hAnsi="宋体" w:eastAsia="宋体" w:cs="宋体"/>
                <w:kern w:val="2"/>
                <w:sz w:val="21"/>
                <w:szCs w:val="21"/>
                <w:lang w:val="en-US" w:eastAsia="zh-CN" w:bidi="ar-SA"/>
              </w:rPr>
            </w:pPr>
            <w:r>
              <w:rPr>
                <w:rFonts w:hint="eastAsia" w:cs="宋体" w:asciiTheme="minorEastAsia" w:hAnsiTheme="minorEastAsia" w:eastAsiaTheme="minorEastAsia"/>
                <w:bCs/>
                <w:spacing w:val="10"/>
                <w:kern w:val="2"/>
                <w:sz w:val="21"/>
                <w:szCs w:val="21"/>
                <w:lang w:val="en-US" w:eastAsia="zh-CN" w:bidi="ar-SA"/>
              </w:rPr>
              <w:t xml:space="preserve">   公司防护符合要求</w:t>
            </w:r>
            <w:r>
              <w:rPr>
                <w:rFonts w:hint="eastAsia" w:ascii="宋体" w:hAnsi="宋体" w:cs="宋体"/>
                <w:kern w:val="2"/>
                <w:sz w:val="21"/>
                <w:szCs w:val="21"/>
                <w:lang w:val="en-US" w:eastAsia="zh-CN" w:bidi="ar-SA"/>
              </w:rPr>
              <w:t xml:space="preserve">。  </w:t>
            </w:r>
          </w:p>
        </w:tc>
        <w:tc>
          <w:tcPr>
            <w:tcW w:w="1564" w:type="dxa"/>
            <w:vAlign w:val="top"/>
          </w:tcPr>
          <w:p>
            <w:pPr>
              <w:spacing w:line="360" w:lineRule="auto"/>
            </w:pPr>
            <w:r>
              <w:rPr>
                <w:rFonts w:hint="eastAsia" w:ascii="楷体" w:hAnsi="楷体" w:eastAsia="楷体"/>
                <w:sz w:val="24"/>
                <w:szCs w:val="24"/>
              </w:rPr>
              <w:t>OK</w:t>
            </w:r>
          </w:p>
        </w:tc>
      </w:tr>
    </w:tbl>
    <w:p>
      <w:pPr>
        <w:pStyle w:val="4"/>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A54C3"/>
    <w:rsid w:val="00BC492C"/>
    <w:rsid w:val="01217B1B"/>
    <w:rsid w:val="01D26597"/>
    <w:rsid w:val="02951963"/>
    <w:rsid w:val="02B051C1"/>
    <w:rsid w:val="03032044"/>
    <w:rsid w:val="03DF062D"/>
    <w:rsid w:val="045678A2"/>
    <w:rsid w:val="05432E04"/>
    <w:rsid w:val="05FA21BE"/>
    <w:rsid w:val="07660B80"/>
    <w:rsid w:val="07974EDE"/>
    <w:rsid w:val="07D4373A"/>
    <w:rsid w:val="089F21F0"/>
    <w:rsid w:val="09960E30"/>
    <w:rsid w:val="0A960ED9"/>
    <w:rsid w:val="0AFE6DF5"/>
    <w:rsid w:val="0B1F2CFD"/>
    <w:rsid w:val="0BBD0705"/>
    <w:rsid w:val="0CBA4A5A"/>
    <w:rsid w:val="0D400163"/>
    <w:rsid w:val="0D877273"/>
    <w:rsid w:val="0E427073"/>
    <w:rsid w:val="0E820089"/>
    <w:rsid w:val="0FE62766"/>
    <w:rsid w:val="11B11A42"/>
    <w:rsid w:val="11E51F73"/>
    <w:rsid w:val="12352AC2"/>
    <w:rsid w:val="12513F5F"/>
    <w:rsid w:val="12731453"/>
    <w:rsid w:val="12D8675F"/>
    <w:rsid w:val="138C6DD1"/>
    <w:rsid w:val="13964892"/>
    <w:rsid w:val="1454500F"/>
    <w:rsid w:val="15003E53"/>
    <w:rsid w:val="1511758C"/>
    <w:rsid w:val="15D46F6E"/>
    <w:rsid w:val="15F01D41"/>
    <w:rsid w:val="16B05EE6"/>
    <w:rsid w:val="17453E94"/>
    <w:rsid w:val="18032168"/>
    <w:rsid w:val="18D70C82"/>
    <w:rsid w:val="193413F6"/>
    <w:rsid w:val="19452E5F"/>
    <w:rsid w:val="19C20065"/>
    <w:rsid w:val="1A2F3569"/>
    <w:rsid w:val="1BDC5DE1"/>
    <w:rsid w:val="1C3C2052"/>
    <w:rsid w:val="1C4A493D"/>
    <w:rsid w:val="1C5540B8"/>
    <w:rsid w:val="1D354417"/>
    <w:rsid w:val="1D864ECF"/>
    <w:rsid w:val="1E397C36"/>
    <w:rsid w:val="1E775569"/>
    <w:rsid w:val="1FBD216D"/>
    <w:rsid w:val="20C300E3"/>
    <w:rsid w:val="21BA6196"/>
    <w:rsid w:val="21F66909"/>
    <w:rsid w:val="25035A7C"/>
    <w:rsid w:val="25227A26"/>
    <w:rsid w:val="256A5CC1"/>
    <w:rsid w:val="25775731"/>
    <w:rsid w:val="25997D13"/>
    <w:rsid w:val="261C2AE3"/>
    <w:rsid w:val="26A85BCF"/>
    <w:rsid w:val="26B02FBE"/>
    <w:rsid w:val="277D5E28"/>
    <w:rsid w:val="27B258E3"/>
    <w:rsid w:val="27B3583B"/>
    <w:rsid w:val="27FF6DFB"/>
    <w:rsid w:val="291A1650"/>
    <w:rsid w:val="2971707E"/>
    <w:rsid w:val="2A5302F5"/>
    <w:rsid w:val="2B193FA9"/>
    <w:rsid w:val="2C171AC7"/>
    <w:rsid w:val="2C4B0F48"/>
    <w:rsid w:val="2D5B57EB"/>
    <w:rsid w:val="2E817CE0"/>
    <w:rsid w:val="2E981AF6"/>
    <w:rsid w:val="304E6ED4"/>
    <w:rsid w:val="30870B9D"/>
    <w:rsid w:val="3164530E"/>
    <w:rsid w:val="326B16A6"/>
    <w:rsid w:val="335F4E76"/>
    <w:rsid w:val="34AF62EE"/>
    <w:rsid w:val="34B8516D"/>
    <w:rsid w:val="35567AA0"/>
    <w:rsid w:val="35650FB5"/>
    <w:rsid w:val="3704648D"/>
    <w:rsid w:val="37060092"/>
    <w:rsid w:val="379845F6"/>
    <w:rsid w:val="37CB471E"/>
    <w:rsid w:val="38464581"/>
    <w:rsid w:val="38D20150"/>
    <w:rsid w:val="395726A3"/>
    <w:rsid w:val="3A085CCD"/>
    <w:rsid w:val="3A343985"/>
    <w:rsid w:val="3AF12F3F"/>
    <w:rsid w:val="3B6A5119"/>
    <w:rsid w:val="3B880CEE"/>
    <w:rsid w:val="3CA9430D"/>
    <w:rsid w:val="3D1534E9"/>
    <w:rsid w:val="3D882557"/>
    <w:rsid w:val="3EFC5EBB"/>
    <w:rsid w:val="3F657D63"/>
    <w:rsid w:val="4030513A"/>
    <w:rsid w:val="410955D8"/>
    <w:rsid w:val="413272A9"/>
    <w:rsid w:val="41EF113C"/>
    <w:rsid w:val="42536E5D"/>
    <w:rsid w:val="426E6163"/>
    <w:rsid w:val="4323443D"/>
    <w:rsid w:val="433C0607"/>
    <w:rsid w:val="43B852BB"/>
    <w:rsid w:val="43D72C4C"/>
    <w:rsid w:val="44317B51"/>
    <w:rsid w:val="44562346"/>
    <w:rsid w:val="45E95747"/>
    <w:rsid w:val="464E38F3"/>
    <w:rsid w:val="467B03FC"/>
    <w:rsid w:val="47413D6B"/>
    <w:rsid w:val="47454949"/>
    <w:rsid w:val="47C65152"/>
    <w:rsid w:val="486544E0"/>
    <w:rsid w:val="48FE38B6"/>
    <w:rsid w:val="494F0F70"/>
    <w:rsid w:val="498C6F1E"/>
    <w:rsid w:val="49F278BD"/>
    <w:rsid w:val="4A3176A7"/>
    <w:rsid w:val="4A626599"/>
    <w:rsid w:val="4AF2307C"/>
    <w:rsid w:val="4B1D5BE5"/>
    <w:rsid w:val="4C9E7DF1"/>
    <w:rsid w:val="4CA4418A"/>
    <w:rsid w:val="4CF32FAC"/>
    <w:rsid w:val="4D32736A"/>
    <w:rsid w:val="4D784EE4"/>
    <w:rsid w:val="4EDD2F3B"/>
    <w:rsid w:val="50C46635"/>
    <w:rsid w:val="51352F91"/>
    <w:rsid w:val="5145031A"/>
    <w:rsid w:val="518856C6"/>
    <w:rsid w:val="51DA71B9"/>
    <w:rsid w:val="52431FB0"/>
    <w:rsid w:val="52CB4843"/>
    <w:rsid w:val="53351FDC"/>
    <w:rsid w:val="542D0DCB"/>
    <w:rsid w:val="55BB6EA3"/>
    <w:rsid w:val="561D76D4"/>
    <w:rsid w:val="56800D18"/>
    <w:rsid w:val="56811538"/>
    <w:rsid w:val="56926DD5"/>
    <w:rsid w:val="56AB4067"/>
    <w:rsid w:val="56D469F6"/>
    <w:rsid w:val="56FA6B80"/>
    <w:rsid w:val="570A12FB"/>
    <w:rsid w:val="57932AF6"/>
    <w:rsid w:val="57AF7B3E"/>
    <w:rsid w:val="58DB1F8F"/>
    <w:rsid w:val="58FA705E"/>
    <w:rsid w:val="595F74FA"/>
    <w:rsid w:val="59C42DF7"/>
    <w:rsid w:val="5A5045E4"/>
    <w:rsid w:val="5A7F097D"/>
    <w:rsid w:val="5B0A0BAD"/>
    <w:rsid w:val="5B210777"/>
    <w:rsid w:val="5CBF6BEB"/>
    <w:rsid w:val="5CC864F5"/>
    <w:rsid w:val="5CF37E6C"/>
    <w:rsid w:val="5E3B1D43"/>
    <w:rsid w:val="5F643271"/>
    <w:rsid w:val="5FE44FCD"/>
    <w:rsid w:val="60011CEE"/>
    <w:rsid w:val="60801E94"/>
    <w:rsid w:val="608E3E2A"/>
    <w:rsid w:val="60C506D9"/>
    <w:rsid w:val="6151755D"/>
    <w:rsid w:val="61FD00C3"/>
    <w:rsid w:val="62141E05"/>
    <w:rsid w:val="633F517B"/>
    <w:rsid w:val="636E1876"/>
    <w:rsid w:val="63AD67C4"/>
    <w:rsid w:val="63FA16A4"/>
    <w:rsid w:val="647D1317"/>
    <w:rsid w:val="64A907A1"/>
    <w:rsid w:val="64C87920"/>
    <w:rsid w:val="66017587"/>
    <w:rsid w:val="67333339"/>
    <w:rsid w:val="677C76FD"/>
    <w:rsid w:val="68302992"/>
    <w:rsid w:val="68DC69C0"/>
    <w:rsid w:val="6AC10149"/>
    <w:rsid w:val="6AF96057"/>
    <w:rsid w:val="6B163A4D"/>
    <w:rsid w:val="6BE54D2E"/>
    <w:rsid w:val="6BFF15D3"/>
    <w:rsid w:val="6C593D5A"/>
    <w:rsid w:val="6C8F4CAB"/>
    <w:rsid w:val="6D2259EB"/>
    <w:rsid w:val="6D2A6F00"/>
    <w:rsid w:val="6D5E163D"/>
    <w:rsid w:val="6DD855BC"/>
    <w:rsid w:val="6E28272D"/>
    <w:rsid w:val="6E461D30"/>
    <w:rsid w:val="6EB32EF1"/>
    <w:rsid w:val="6ECA2BB8"/>
    <w:rsid w:val="711808C6"/>
    <w:rsid w:val="71E90143"/>
    <w:rsid w:val="72D939DA"/>
    <w:rsid w:val="750C26EB"/>
    <w:rsid w:val="752451A0"/>
    <w:rsid w:val="772344EC"/>
    <w:rsid w:val="77426963"/>
    <w:rsid w:val="77C51C24"/>
    <w:rsid w:val="784C43C7"/>
    <w:rsid w:val="78B86691"/>
    <w:rsid w:val="79372220"/>
    <w:rsid w:val="79875AAD"/>
    <w:rsid w:val="79B82F3C"/>
    <w:rsid w:val="7A3A74B9"/>
    <w:rsid w:val="7BB421D6"/>
    <w:rsid w:val="7BFA38FD"/>
    <w:rsid w:val="7CBF70E7"/>
    <w:rsid w:val="7D233AE0"/>
    <w:rsid w:val="7E9F611F"/>
    <w:rsid w:val="7EE827F0"/>
    <w:rsid w:val="7FF203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lang w:val="en-GB" w:eastAsia="en-GB"/>
    </w:rPr>
  </w:style>
  <w:style w:type="character" w:styleId="9">
    <w:name w:val="Strong"/>
    <w:basedOn w:val="8"/>
    <w:qFormat/>
    <w:uiPriority w:val="0"/>
    <w:rPr>
      <w:b/>
      <w:b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dcterms:modified xsi:type="dcterms:W3CDTF">2021-09-23T14:02:37Z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