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012"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642" w:type="dxa"/>
            <w:vAlign w:val="center"/>
          </w:tcPr>
          <w:p>
            <w:pPr>
              <w:spacing w:line="360" w:lineRule="auto"/>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总</w:t>
            </w:r>
            <w:r>
              <w:rPr>
                <w:rFonts w:hint="eastAsia"/>
                <w:sz w:val="24"/>
                <w:szCs w:val="24"/>
                <w:lang w:val="en-US" w:eastAsia="zh-CN"/>
              </w:rPr>
              <w:t>经理</w:t>
            </w:r>
            <w:r>
              <w:rPr>
                <w:rFonts w:hint="eastAsia"/>
                <w:sz w:val="24"/>
                <w:szCs w:val="24"/>
              </w:rPr>
              <w:t>：</w:t>
            </w:r>
            <w:r>
              <w:rPr>
                <w:rFonts w:hint="eastAsia"/>
                <w:sz w:val="24"/>
                <w:szCs w:val="24"/>
                <w:lang w:val="en-US" w:eastAsia="zh-CN"/>
              </w:rPr>
              <w:t xml:space="preserve">王奎峰 </w:t>
            </w:r>
            <w:r>
              <w:rPr>
                <w:rFonts w:hint="default"/>
                <w:sz w:val="24"/>
                <w:szCs w:val="24"/>
              </w:rPr>
              <w:t xml:space="preserve">  </w:t>
            </w:r>
            <w:r>
              <w:rPr>
                <w:rFonts w:hint="eastAsia"/>
                <w:sz w:val="24"/>
                <w:szCs w:val="24"/>
              </w:rPr>
              <w:t>管代：</w:t>
            </w:r>
            <w:r>
              <w:rPr>
                <w:rFonts w:hint="eastAsia"/>
                <w:sz w:val="24"/>
                <w:szCs w:val="24"/>
                <w:lang w:val="en-US" w:eastAsia="zh-CN"/>
              </w:rPr>
              <w:t>李桂荣</w:t>
            </w:r>
            <w:r>
              <w:rPr>
                <w:sz w:val="24"/>
                <w:szCs w:val="24"/>
              </w:rPr>
              <w:t xml:space="preserve">  </w:t>
            </w:r>
            <w:r>
              <w:rPr>
                <w:rFonts w:hint="eastAsia"/>
                <w:sz w:val="24"/>
                <w:szCs w:val="24"/>
                <w:lang w:val="en-US" w:eastAsia="zh-CN"/>
              </w:rPr>
              <w:t xml:space="preserve"> </w:t>
            </w:r>
          </w:p>
        </w:tc>
        <w:tc>
          <w:tcPr>
            <w:tcW w:w="89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1012" w:type="dxa"/>
            <w:vMerge w:val="continue"/>
            <w:vAlign w:val="center"/>
          </w:tcPr>
          <w:p>
            <w:pPr>
              <w:spacing w:line="360" w:lineRule="auto"/>
            </w:pPr>
          </w:p>
        </w:tc>
        <w:tc>
          <w:tcPr>
            <w:tcW w:w="10642" w:type="dxa"/>
            <w:vAlign w:val="center"/>
          </w:tcPr>
          <w:p>
            <w:pPr>
              <w:spacing w:line="360" w:lineRule="auto"/>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3</w:t>
            </w:r>
            <w:r>
              <w:rPr>
                <w:rFonts w:hint="eastAsia"/>
                <w:sz w:val="24"/>
                <w:szCs w:val="24"/>
              </w:rPr>
              <w:t>日</w:t>
            </w:r>
          </w:p>
        </w:tc>
        <w:tc>
          <w:tcPr>
            <w:tcW w:w="89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1012" w:type="dxa"/>
            <w:vMerge w:val="continue"/>
            <w:vAlign w:val="center"/>
          </w:tcPr>
          <w:p>
            <w:pPr>
              <w:spacing w:line="360" w:lineRule="auto"/>
            </w:pPr>
          </w:p>
        </w:tc>
        <w:tc>
          <w:tcPr>
            <w:tcW w:w="10642" w:type="dxa"/>
            <w:vAlign w:val="center"/>
          </w:tcPr>
          <w:p>
            <w:pPr>
              <w:pStyle w:val="2"/>
              <w:spacing w:line="360" w:lineRule="auto"/>
              <w:rPr>
                <w:rFonts w:hint="eastAsia" w:ascii="Arial" w:hAnsi="Arial" w:eastAsia="宋体" w:cs="Arial"/>
                <w:bCs w:val="0"/>
                <w:spacing w:val="0"/>
                <w:kern w:val="2"/>
                <w:sz w:val="21"/>
                <w:szCs w:val="22"/>
                <w:lang w:val="en-US" w:eastAsia="zh-CN" w:bidi="ar-SA"/>
              </w:rPr>
            </w:pPr>
            <w:r>
              <w:rPr>
                <w:rFonts w:hint="eastAsia" w:ascii="Arial" w:hAnsi="Arial" w:eastAsia="宋体" w:cs="Arial"/>
                <w:bCs w:val="0"/>
                <w:spacing w:val="0"/>
                <w:kern w:val="2"/>
                <w:sz w:val="21"/>
                <w:szCs w:val="22"/>
                <w:lang w:val="en-US" w:eastAsia="zh-CN" w:bidi="ar-SA"/>
              </w:rPr>
              <w:t>审核条款：Q4.1/4.2/4.3/4.4/5.1/5.2/5.3/6.1</w:t>
            </w:r>
            <w:r>
              <w:rPr>
                <w:rFonts w:hint="eastAsia" w:ascii="Arial" w:hAnsi="Arial" w:cs="Arial"/>
                <w:bCs w:val="0"/>
                <w:spacing w:val="0"/>
                <w:kern w:val="2"/>
                <w:sz w:val="21"/>
                <w:szCs w:val="22"/>
                <w:lang w:val="en-US" w:eastAsia="zh-CN" w:bidi="ar-SA"/>
              </w:rPr>
              <w:t>.1/6.1.4</w:t>
            </w:r>
            <w:r>
              <w:rPr>
                <w:rFonts w:hint="eastAsia" w:ascii="Arial" w:hAnsi="Arial" w:eastAsia="宋体" w:cs="Arial"/>
                <w:bCs w:val="0"/>
                <w:spacing w:val="0"/>
                <w:kern w:val="2"/>
                <w:sz w:val="21"/>
                <w:szCs w:val="22"/>
                <w:lang w:val="en-US" w:eastAsia="zh-CN" w:bidi="ar-SA"/>
              </w:rPr>
              <w:t>/6.2/7.1</w:t>
            </w:r>
            <w:r>
              <w:rPr>
                <w:rFonts w:hint="eastAsia" w:ascii="Arial" w:hAnsi="Arial" w:eastAsia="宋体" w:cs="Arial"/>
                <w:bCs w:val="0"/>
                <w:spacing w:val="0"/>
                <w:kern w:val="2"/>
                <w:sz w:val="21"/>
                <w:szCs w:val="22"/>
                <w:highlight w:val="none"/>
                <w:lang w:val="en-US" w:eastAsia="zh-CN" w:bidi="ar-SA"/>
              </w:rPr>
              <w:t>/9.1</w:t>
            </w:r>
            <w:r>
              <w:rPr>
                <w:rFonts w:hint="eastAsia" w:ascii="Arial" w:hAnsi="Arial" w:cs="Arial"/>
                <w:bCs w:val="0"/>
                <w:spacing w:val="0"/>
                <w:kern w:val="2"/>
                <w:sz w:val="21"/>
                <w:szCs w:val="22"/>
                <w:highlight w:val="none"/>
                <w:lang w:val="en-US" w:eastAsia="zh-CN" w:bidi="ar-SA"/>
              </w:rPr>
              <w:t>.1</w:t>
            </w:r>
            <w:r>
              <w:rPr>
                <w:rFonts w:hint="eastAsia" w:ascii="Arial" w:hAnsi="Arial" w:eastAsia="宋体" w:cs="Arial"/>
                <w:bCs w:val="0"/>
                <w:spacing w:val="0"/>
                <w:kern w:val="2"/>
                <w:sz w:val="21"/>
                <w:szCs w:val="22"/>
                <w:highlight w:val="none"/>
                <w:lang w:val="en-US" w:eastAsia="zh-CN" w:bidi="ar-SA"/>
              </w:rPr>
              <w:t>/</w:t>
            </w:r>
            <w:r>
              <w:rPr>
                <w:rFonts w:hint="eastAsia" w:ascii="Arial" w:hAnsi="Arial" w:eastAsia="宋体" w:cs="Arial"/>
                <w:bCs w:val="0"/>
                <w:spacing w:val="0"/>
                <w:kern w:val="2"/>
                <w:sz w:val="21"/>
                <w:szCs w:val="22"/>
                <w:lang w:val="en-US" w:eastAsia="zh-CN" w:bidi="ar-SA"/>
              </w:rPr>
              <w:t>9.3/10.1/10.3；Q6.3</w:t>
            </w:r>
            <w:bookmarkStart w:id="0" w:name="_GoBack"/>
            <w:bookmarkEnd w:id="0"/>
          </w:p>
          <w:p>
            <w:pPr>
              <w:pStyle w:val="2"/>
              <w:spacing w:line="360" w:lineRule="auto"/>
              <w:rPr>
                <w:rFonts w:hint="eastAsia" w:ascii="Arial" w:hAnsi="Arial" w:eastAsia="宋体" w:cs="Arial"/>
                <w:bCs w:val="0"/>
                <w:spacing w:val="0"/>
                <w:kern w:val="2"/>
                <w:sz w:val="21"/>
                <w:szCs w:val="22"/>
                <w:lang w:val="en-US" w:eastAsia="zh-CN" w:bidi="ar-SA"/>
              </w:rPr>
            </w:pPr>
            <w:r>
              <w:rPr>
                <w:rFonts w:hint="eastAsia" w:ascii="Arial" w:hAnsi="Arial" w:eastAsia="宋体" w:cs="Arial"/>
                <w:bCs w:val="0"/>
                <w:spacing w:val="0"/>
                <w:kern w:val="2"/>
                <w:sz w:val="21"/>
                <w:szCs w:val="22"/>
                <w:lang w:val="en-US" w:eastAsia="zh-CN" w:bidi="ar-SA"/>
              </w:rPr>
              <w:t>内外部因素、相关方的需求和期望、体系策划过程、管理承诺相关过程、资源提供过程、内外部沟通、管理评审过程、产品实现策划、顾客投诉处理、监视和测量规划和持续改进等）</w:t>
            </w:r>
          </w:p>
          <w:p>
            <w:pPr>
              <w:pStyle w:val="2"/>
              <w:spacing w:line="360" w:lineRule="auto"/>
              <w:rPr>
                <w:rFonts w:hint="eastAsia" w:ascii="Arial" w:hAnsi="Arial" w:eastAsia="宋体" w:cs="Arial"/>
                <w:bCs w:val="0"/>
                <w:spacing w:val="0"/>
                <w:kern w:val="2"/>
                <w:sz w:val="21"/>
                <w:szCs w:val="22"/>
                <w:lang w:val="en-US" w:eastAsia="zh-CN" w:bidi="ar-SA"/>
              </w:rPr>
            </w:pPr>
            <w:r>
              <w:rPr>
                <w:rFonts w:hint="eastAsia" w:ascii="Arial" w:hAnsi="Arial" w:eastAsia="宋体" w:cs="Arial"/>
                <w:bCs w:val="0"/>
                <w:spacing w:val="0"/>
                <w:kern w:val="2"/>
                <w:sz w:val="21"/>
                <w:szCs w:val="22"/>
                <w:lang w:val="en-US" w:eastAsia="zh-CN" w:bidi="ar-SA"/>
              </w:rPr>
              <w:t>对一阶段问题整改情况的确认；事故事件及起处理情况，质量、环境安全监测情况、使用情况等</w:t>
            </w:r>
          </w:p>
        </w:tc>
        <w:tc>
          <w:tcPr>
            <w:tcW w:w="89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0" w:type="dxa"/>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宋体" w:hAnsi="宋体" w:cs="宋体"/>
                <w:szCs w:val="21"/>
              </w:rPr>
            </w:pPr>
            <w:r>
              <w:rPr>
                <w:rFonts w:hint="eastAsia" w:ascii="宋体" w:hAnsi="宋体" w:cs="宋体"/>
                <w:szCs w:val="21"/>
              </w:rPr>
              <w:t>总要求</w:t>
            </w:r>
          </w:p>
          <w:p>
            <w:pPr>
              <w:spacing w:line="360" w:lineRule="auto"/>
            </w:pPr>
          </w:p>
        </w:tc>
        <w:tc>
          <w:tcPr>
            <w:tcW w:w="1012" w:type="dxa"/>
          </w:tcPr>
          <w:p>
            <w:pPr>
              <w:spacing w:line="360" w:lineRule="auto"/>
              <w:rPr>
                <w:rFonts w:ascii="宋体" w:hAnsi="宋体" w:cs="宋体"/>
                <w:szCs w:val="21"/>
              </w:rPr>
            </w:pPr>
            <w:r>
              <w:rPr>
                <w:rFonts w:hint="eastAsia" w:ascii="宋体" w:hAnsi="宋体" w:cs="宋体"/>
                <w:szCs w:val="21"/>
              </w:rPr>
              <w:t>Q4.1</w:t>
            </w:r>
          </w:p>
          <w:p>
            <w:pPr>
              <w:spacing w:line="360" w:lineRule="auto"/>
            </w:pPr>
          </w:p>
        </w:tc>
        <w:tc>
          <w:tcPr>
            <w:tcW w:w="10642" w:type="dxa"/>
            <w:vAlign w:val="center"/>
          </w:tcPr>
          <w:p>
            <w:pPr>
              <w:autoSpaceDE w:val="0"/>
              <w:autoSpaceDN w:val="0"/>
              <w:adjustRightInd w:val="0"/>
              <w:spacing w:line="360" w:lineRule="auto"/>
              <w:ind w:firstLine="480"/>
              <w:rPr>
                <w:rFonts w:hint="eastAsia"/>
                <w:szCs w:val="22"/>
                <w:lang w:val="en-US" w:eastAsia="zh-CN"/>
              </w:rPr>
            </w:pPr>
            <w:r>
              <w:rPr>
                <w:rFonts w:hint="eastAsia"/>
                <w:szCs w:val="22"/>
                <w:lang w:val="en-US" w:eastAsia="zh-CN"/>
              </w:rPr>
              <w:t>泊头市中金机械设备制造有限公司成立于2015年11月17日，坐落于河北省泊头市交河镇工业集中区（泊富路北），主要经营：铸铁件、铸钢件、焊接件、工量具生产及销售；机械加工。公司尊崇“踏实、拼搏、责任”的企业精神，并以诚信、共赢、开创经营理念，创造良好的企业环境，以全新的管理模式，完善的技术，周到的服务，卓越的品质为生存根本，我们始终坚持用户至上 用心服务于客户，坚持用自己的服务去打动客户。 </w:t>
            </w:r>
          </w:p>
          <w:p>
            <w:pPr>
              <w:autoSpaceDE w:val="0"/>
              <w:autoSpaceDN w:val="0"/>
              <w:adjustRightInd w:val="0"/>
              <w:spacing w:line="360" w:lineRule="auto"/>
              <w:ind w:firstLine="480"/>
              <w:rPr>
                <w:rFonts w:hint="eastAsia"/>
                <w:szCs w:val="22"/>
                <w:lang w:val="en-US" w:eastAsia="zh-CN"/>
              </w:rPr>
            </w:pPr>
            <w:r>
              <w:rPr>
                <w:rFonts w:hint="eastAsia"/>
                <w:szCs w:val="22"/>
                <w:lang w:val="en-US" w:eastAsia="zh-CN"/>
              </w:rPr>
              <w:t>管理手册ZJJX—SC—2020，实施、发布日期：</w:t>
            </w:r>
            <w:r>
              <w:rPr>
                <w:rFonts w:hint="eastAsia"/>
                <w:bCs w:val="0"/>
              </w:rPr>
              <w:t>2020年8月25日</w:t>
            </w:r>
            <w:r>
              <w:rPr>
                <w:rFonts w:hint="eastAsia"/>
                <w:szCs w:val="22"/>
                <w:lang w:val="en-US" w:eastAsia="zh-CN"/>
              </w:rPr>
              <w:t>。</w:t>
            </w:r>
          </w:p>
          <w:p>
            <w:pPr>
              <w:spacing w:line="360" w:lineRule="auto"/>
              <w:ind w:firstLine="420" w:firstLineChars="200"/>
            </w:pPr>
            <w:r>
              <w:rPr>
                <w:rFonts w:hint="eastAsia"/>
              </w:rPr>
              <w:t>确认认证范围</w:t>
            </w:r>
          </w:p>
          <w:p>
            <w:pPr>
              <w:autoSpaceDE w:val="0"/>
              <w:autoSpaceDN w:val="0"/>
              <w:adjustRightInd w:val="0"/>
              <w:spacing w:line="360" w:lineRule="auto"/>
              <w:ind w:firstLine="480"/>
              <w:rPr>
                <w:rFonts w:hint="eastAsia"/>
              </w:rPr>
            </w:pPr>
            <w:r>
              <w:rPr>
                <w:rFonts w:hint="eastAsia"/>
              </w:rPr>
              <w:t>Q：铸铁件、铸钢件、焊接件、工量具生产及销售；机械加工</w:t>
            </w:r>
          </w:p>
          <w:p>
            <w:pPr>
              <w:autoSpaceDE w:val="0"/>
              <w:autoSpaceDN w:val="0"/>
              <w:adjustRightInd w:val="0"/>
              <w:spacing w:line="360" w:lineRule="auto"/>
              <w:ind w:firstLine="480"/>
              <w:rPr>
                <w:rFonts w:hint="eastAsia"/>
                <w:lang w:val="en-US" w:eastAsia="zh-CN"/>
              </w:rPr>
            </w:pPr>
            <w:r>
              <w:rPr>
                <w:rFonts w:hint="eastAsia"/>
                <w:lang w:val="en-US" w:eastAsia="zh-CN"/>
              </w:rPr>
              <w:t>总经理负责组织采用走访、行业市场分析等方法分析和确定与公司质量、环境和职业健康安全目标和战略方向相关并影响其实现质量、环境和职业健康安全管理体系预期结果的各种外部因素（如经济环境、政治环境、技术环境、自然环境等）和内部因素（如使命、资源、文化等），并对这些内部和外部因素的相关信息进行监视和评审，每年进行一次监视，采用管理评审的方法进行评审。一旦发生重大变化应重新进行分析和确定。在分析和确定内外部因素时应考虑：</w:t>
            </w:r>
          </w:p>
          <w:p>
            <w:pPr>
              <w:autoSpaceDE w:val="0"/>
              <w:autoSpaceDN w:val="0"/>
              <w:adjustRightInd w:val="0"/>
              <w:spacing w:line="360" w:lineRule="auto"/>
              <w:ind w:firstLine="480"/>
              <w:rPr>
                <w:rFonts w:hint="eastAsia"/>
                <w:lang w:val="en-US" w:eastAsia="zh-CN"/>
              </w:rPr>
            </w:pPr>
            <w:r>
              <w:rPr>
                <w:rFonts w:hint="eastAsia"/>
                <w:lang w:val="en-US" w:eastAsia="zh-CN"/>
              </w:rPr>
              <w:t>a)正面和负面要素或条件。</w:t>
            </w:r>
          </w:p>
          <w:p>
            <w:pPr>
              <w:autoSpaceDE w:val="0"/>
              <w:autoSpaceDN w:val="0"/>
              <w:adjustRightInd w:val="0"/>
              <w:spacing w:line="360" w:lineRule="auto"/>
              <w:ind w:firstLine="480"/>
              <w:rPr>
                <w:rFonts w:hint="eastAsia"/>
                <w:lang w:val="en-US" w:eastAsia="zh-CN"/>
              </w:rPr>
            </w:pPr>
            <w:r>
              <w:rPr>
                <w:rFonts w:hint="eastAsia"/>
                <w:lang w:val="en-US" w:eastAsia="zh-CN"/>
              </w:rPr>
              <w:t>b)外部环境，法律法规要求、市场占有率、市场稳定性、技术和经济因素等。</w:t>
            </w:r>
          </w:p>
          <w:p>
            <w:pPr>
              <w:autoSpaceDE w:val="0"/>
              <w:autoSpaceDN w:val="0"/>
              <w:adjustRightInd w:val="0"/>
              <w:spacing w:line="360" w:lineRule="auto"/>
              <w:ind w:firstLine="480"/>
              <w:rPr>
                <w:rFonts w:hint="default"/>
              </w:rPr>
            </w:pPr>
            <w:r>
              <w:rPr>
                <w:rFonts w:hint="default"/>
                <w:szCs w:val="22"/>
                <w:highlight w:val="none"/>
              </w:rPr>
              <w:t>查</w:t>
            </w:r>
            <w:r>
              <w:rPr>
                <w:rFonts w:hint="eastAsia"/>
                <w:szCs w:val="22"/>
                <w:highlight w:val="none"/>
                <w:lang w:val="en-US" w:eastAsia="zh-CN"/>
              </w:rPr>
              <w:t>编制有</w:t>
            </w:r>
            <w:r>
              <w:rPr>
                <w:rFonts w:hint="eastAsia"/>
                <w:szCs w:val="22"/>
                <w:highlight w:val="none"/>
                <w:lang w:eastAsia="zh-CN"/>
              </w:rPr>
              <w:t>《</w:t>
            </w:r>
            <w:r>
              <w:rPr>
                <w:rFonts w:hint="default"/>
                <w:szCs w:val="22"/>
                <w:highlight w:val="none"/>
              </w:rPr>
              <w:t>公司环境分析控制程序</w:t>
            </w:r>
            <w:r>
              <w:rPr>
                <w:rFonts w:hint="eastAsia"/>
                <w:szCs w:val="22"/>
                <w:highlight w:val="none"/>
                <w:lang w:eastAsia="zh-CN"/>
              </w:rPr>
              <w:t>》ZJJX-CX-01-2020，</w:t>
            </w:r>
            <w:r>
              <w:rPr>
                <w:rFonts w:hint="default"/>
                <w:szCs w:val="22"/>
                <w:highlight w:val="none"/>
              </w:rPr>
              <w:t>提供</w:t>
            </w:r>
            <w:r>
              <w:rPr>
                <w:rFonts w:hint="eastAsia"/>
                <w:szCs w:val="22"/>
                <w:highlight w:val="none"/>
                <w:lang w:val="en-US" w:eastAsia="zh-CN"/>
              </w:rPr>
              <w:t>有</w:t>
            </w:r>
            <w:r>
              <w:rPr>
                <w:rFonts w:hint="default"/>
                <w:szCs w:val="22"/>
                <w:highlight w:val="none"/>
              </w:rPr>
              <w:t>《组织内</w:t>
            </w:r>
            <w:r>
              <w:rPr>
                <w:rFonts w:hint="eastAsia"/>
                <w:szCs w:val="22"/>
                <w:highlight w:val="none"/>
                <w:lang w:val="en-US" w:eastAsia="zh-CN"/>
              </w:rPr>
              <w:t>/外</w:t>
            </w:r>
            <w:r>
              <w:rPr>
                <w:rFonts w:hint="default"/>
                <w:szCs w:val="22"/>
                <w:highlight w:val="none"/>
              </w:rPr>
              <w:t>部环境因素分析表》</w:t>
            </w:r>
            <w:r>
              <w:rPr>
                <w:rFonts w:hint="eastAsia"/>
                <w:szCs w:val="22"/>
                <w:highlight w:val="none"/>
                <w:lang w:eastAsia="zh-CN"/>
              </w:rPr>
              <w:t>、《</w:t>
            </w:r>
            <w:r>
              <w:rPr>
                <w:rFonts w:hint="default"/>
                <w:szCs w:val="22"/>
                <w:highlight w:val="none"/>
              </w:rPr>
              <w:t>组织环境分析报告</w:t>
            </w:r>
            <w:r>
              <w:rPr>
                <w:rFonts w:hint="eastAsia"/>
                <w:szCs w:val="22"/>
                <w:highlight w:val="none"/>
                <w:lang w:eastAsia="zh-CN"/>
              </w:rPr>
              <w:t>》</w:t>
            </w:r>
            <w:r>
              <w:rPr>
                <w:rFonts w:hint="default"/>
                <w:szCs w:val="22"/>
                <w:highlight w:val="none"/>
              </w:rPr>
              <w:t>，</w:t>
            </w:r>
            <w:r>
              <w:rPr>
                <w:rFonts w:hint="eastAsia"/>
                <w:szCs w:val="22"/>
                <w:highlight w:val="none"/>
                <w:lang w:val="en-US" w:eastAsia="zh-CN"/>
              </w:rPr>
              <w:t>从</w:t>
            </w:r>
            <w:r>
              <w:rPr>
                <w:rFonts w:hint="default"/>
                <w:szCs w:val="22"/>
                <w:highlight w:val="none"/>
              </w:rPr>
              <w:t>企业文化和价值观</w:t>
            </w:r>
            <w:r>
              <w:rPr>
                <w:rFonts w:hint="eastAsia"/>
                <w:szCs w:val="22"/>
                <w:highlight w:val="none"/>
                <w:lang w:eastAsia="zh-CN"/>
              </w:rPr>
              <w:t>、战略目标、人才把控、法律法规、社会、市场环境</w:t>
            </w:r>
            <w:r>
              <w:rPr>
                <w:rFonts w:hint="eastAsia"/>
                <w:szCs w:val="22"/>
                <w:highlight w:val="none"/>
                <w:lang w:val="en-US" w:eastAsia="zh-CN"/>
              </w:rPr>
              <w:t>等方面分析，制定有对应措施，编制：综合部，审核：李桂荣</w:t>
            </w:r>
            <w:r>
              <w:rPr>
                <w:rFonts w:hint="eastAsia"/>
                <w:szCs w:val="22"/>
                <w:highlight w:val="none"/>
                <w:lang w:eastAsia="zh-CN"/>
              </w:rPr>
              <w:t>，</w:t>
            </w:r>
            <w:r>
              <w:rPr>
                <w:rFonts w:hint="default"/>
                <w:szCs w:val="22"/>
                <w:highlight w:val="none"/>
              </w:rPr>
              <w:t>批</w:t>
            </w:r>
            <w:r>
              <w:rPr>
                <w:rFonts w:hint="eastAsia"/>
                <w:szCs w:val="22"/>
                <w:highlight w:val="none"/>
                <w:lang w:val="en-US" w:eastAsia="zh-CN"/>
              </w:rPr>
              <w:t>准</w:t>
            </w:r>
            <w:r>
              <w:rPr>
                <w:rFonts w:hint="default"/>
                <w:szCs w:val="22"/>
                <w:highlight w:val="none"/>
              </w:rPr>
              <w:t>：</w:t>
            </w:r>
            <w:r>
              <w:rPr>
                <w:rFonts w:hint="eastAsia"/>
                <w:szCs w:val="22"/>
                <w:highlight w:val="none"/>
                <w:lang w:eastAsia="zh-CN"/>
              </w:rPr>
              <w:t>王奎峰，</w:t>
            </w:r>
            <w:r>
              <w:rPr>
                <w:rFonts w:hint="eastAsia"/>
                <w:sz w:val="21"/>
                <w:szCs w:val="21"/>
              </w:rPr>
              <w:t>日期：</w:t>
            </w:r>
            <w:r>
              <w:rPr>
                <w:rFonts w:hint="eastAsia"/>
                <w:sz w:val="21"/>
                <w:szCs w:val="21"/>
                <w:lang w:eastAsia="zh-CN"/>
              </w:rPr>
              <w:t>20</w:t>
            </w:r>
            <w:r>
              <w:rPr>
                <w:rFonts w:hint="eastAsia"/>
                <w:sz w:val="21"/>
                <w:szCs w:val="21"/>
                <w:lang w:val="en-US" w:eastAsia="zh-CN"/>
              </w:rPr>
              <w:t>21</w:t>
            </w:r>
            <w:r>
              <w:rPr>
                <w:rFonts w:hint="eastAsia"/>
                <w:sz w:val="21"/>
                <w:szCs w:val="21"/>
                <w:lang w:eastAsia="zh-CN"/>
              </w:rPr>
              <w:t>年1月30日</w:t>
            </w:r>
            <w:r>
              <w:rPr>
                <w:rFonts w:hint="default"/>
                <w:szCs w:val="22"/>
                <w:highlight w:val="none"/>
              </w:rPr>
              <w:t>。</w:t>
            </w:r>
          </w:p>
        </w:tc>
        <w:tc>
          <w:tcPr>
            <w:tcW w:w="895" w:type="dxa"/>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trPr>
        <w:tc>
          <w:tcPr>
            <w:tcW w:w="2160" w:type="dxa"/>
          </w:tcPr>
          <w:p>
            <w:pPr>
              <w:spacing w:line="360" w:lineRule="auto"/>
              <w:rPr>
                <w:rFonts w:ascii="宋体" w:hAnsi="宋体" w:cs="宋体"/>
                <w:szCs w:val="21"/>
              </w:rPr>
            </w:pPr>
            <w:r>
              <w:rPr>
                <w:rFonts w:hint="eastAsia" w:ascii="宋体" w:hAnsi="宋体" w:cs="宋体"/>
                <w:szCs w:val="21"/>
              </w:rPr>
              <w:t>理解相关方的需求和期望</w:t>
            </w:r>
          </w:p>
          <w:p>
            <w:pPr>
              <w:spacing w:line="360" w:lineRule="auto"/>
            </w:pPr>
          </w:p>
        </w:tc>
        <w:tc>
          <w:tcPr>
            <w:tcW w:w="1012" w:type="dxa"/>
          </w:tcPr>
          <w:p>
            <w:pPr>
              <w:spacing w:line="360" w:lineRule="auto"/>
              <w:rPr>
                <w:rFonts w:ascii="宋体" w:hAnsi="宋体" w:cs="宋体"/>
                <w:szCs w:val="21"/>
              </w:rPr>
            </w:pPr>
            <w:r>
              <w:rPr>
                <w:rFonts w:hint="eastAsia" w:ascii="宋体" w:hAnsi="宋体" w:cs="宋体"/>
                <w:szCs w:val="21"/>
              </w:rPr>
              <w:t>Q4.2</w:t>
            </w:r>
          </w:p>
          <w:p>
            <w:pPr>
              <w:spacing w:line="360" w:lineRule="auto"/>
            </w:pPr>
          </w:p>
        </w:tc>
        <w:tc>
          <w:tcPr>
            <w:tcW w:w="10642" w:type="dxa"/>
            <w:vAlign w:val="center"/>
          </w:tcPr>
          <w:p>
            <w:pPr>
              <w:autoSpaceDE w:val="0"/>
              <w:autoSpaceDN w:val="0"/>
              <w:adjustRightInd w:val="0"/>
              <w:spacing w:line="360" w:lineRule="auto"/>
              <w:rPr>
                <w:rFonts w:hint="eastAsia"/>
              </w:rPr>
            </w:pPr>
            <w:r>
              <w:rPr>
                <w:rFonts w:hint="eastAsia"/>
              </w:rPr>
              <w:t>相关方对公司持续提供符合顾客要求和适用法律法规要求的产品能力、环境管理和职业健康安全管理产生影响或潜在影响，因此，总经理组织通过网络、交流、调查、顾客需求/期望/满意度的监视等方法，确定与质量、环境和职业健康安全管理体系有关的顾客及相关方要求的相关信息，并定期予以监视和评审。</w:t>
            </w:r>
          </w:p>
          <w:p>
            <w:pPr>
              <w:autoSpaceDE w:val="0"/>
              <w:autoSpaceDN w:val="0"/>
              <w:adjustRightInd w:val="0"/>
              <w:spacing w:line="360" w:lineRule="auto"/>
              <w:rPr>
                <w:rFonts w:hint="eastAsia"/>
              </w:rPr>
            </w:pPr>
            <w:r>
              <w:rPr>
                <w:rFonts w:hint="eastAsia"/>
              </w:rPr>
              <w:t>a)与质量、环境和职业健康安全管理体系有关的相关方，包括顾客、最终用户、外部供应商、法律法规及监管部门、银行等；</w:t>
            </w:r>
          </w:p>
          <w:p>
            <w:pPr>
              <w:autoSpaceDE w:val="0"/>
              <w:autoSpaceDN w:val="0"/>
              <w:adjustRightInd w:val="0"/>
              <w:spacing w:line="360" w:lineRule="auto"/>
              <w:rPr>
                <w:rFonts w:hint="eastAsia"/>
              </w:rPr>
            </w:pPr>
            <w:r>
              <w:rPr>
                <w:rFonts w:hint="eastAsia"/>
              </w:rPr>
              <w:t>b)相关方的要求，包括：顾客对产品的符合性、价格、风险控制的要求；与顾客的合同、协议要求；与其他有关方签订的合同的义务；行业规范、标准；对环境管理和职业健康安全管理等。</w:t>
            </w:r>
          </w:p>
          <w:p>
            <w:pPr>
              <w:pStyle w:val="2"/>
              <w:spacing w:line="360" w:lineRule="auto"/>
              <w:rPr>
                <w:rFonts w:hint="default" w:eastAsia="宋体"/>
                <w:lang w:val="en-US" w:eastAsia="zh-CN"/>
              </w:rPr>
            </w:pPr>
            <w:r>
              <w:rPr>
                <w:rFonts w:hint="default" w:ascii="宋体" w:hAnsi="宋体" w:cs="宋体"/>
                <w:szCs w:val="21"/>
              </w:rPr>
              <w:t>查</w:t>
            </w:r>
            <w:r>
              <w:rPr>
                <w:rFonts w:hint="eastAsia"/>
                <w:szCs w:val="22"/>
                <w:highlight w:val="none"/>
                <w:lang w:val="en-US" w:eastAsia="zh-CN"/>
              </w:rPr>
              <w:t>编制有</w:t>
            </w:r>
            <w:r>
              <w:rPr>
                <w:rFonts w:hint="eastAsia"/>
                <w:szCs w:val="22"/>
                <w:highlight w:val="none"/>
                <w:lang w:eastAsia="zh-CN"/>
              </w:rPr>
              <w:t>《</w:t>
            </w:r>
            <w:r>
              <w:rPr>
                <w:rFonts w:hint="default"/>
                <w:szCs w:val="22"/>
                <w:highlight w:val="none"/>
              </w:rPr>
              <w:t>相关方需求和期望控制程序</w:t>
            </w:r>
            <w:r>
              <w:rPr>
                <w:rFonts w:hint="eastAsia"/>
                <w:szCs w:val="22"/>
                <w:highlight w:val="none"/>
                <w:lang w:eastAsia="zh-CN"/>
              </w:rPr>
              <w:t>》ZJJX-CX-02-2020，</w:t>
            </w:r>
            <w:r>
              <w:rPr>
                <w:rFonts w:hint="default" w:ascii="宋体" w:hAnsi="宋体" w:cs="宋体"/>
                <w:szCs w:val="21"/>
                <w:highlight w:val="none"/>
              </w:rPr>
              <w:t>提供</w:t>
            </w:r>
            <w:r>
              <w:rPr>
                <w:rFonts w:hint="eastAsia" w:ascii="宋体" w:hAnsi="宋体" w:cs="宋体"/>
                <w:szCs w:val="21"/>
                <w:highlight w:val="none"/>
                <w:lang w:val="en-US" w:eastAsia="zh-CN"/>
              </w:rPr>
              <w:t>有</w:t>
            </w:r>
            <w:r>
              <w:rPr>
                <w:rFonts w:hint="default" w:ascii="宋体" w:hAnsi="宋体" w:cs="宋体"/>
                <w:szCs w:val="21"/>
                <w:highlight w:val="none"/>
              </w:rPr>
              <w:t>《相关方</w:t>
            </w:r>
            <w:r>
              <w:rPr>
                <w:rFonts w:hint="default"/>
                <w:szCs w:val="22"/>
                <w:highlight w:val="none"/>
              </w:rPr>
              <w:t>需求和期望</w:t>
            </w:r>
            <w:r>
              <w:rPr>
                <w:rFonts w:hint="default" w:ascii="宋体" w:hAnsi="宋体" w:cs="宋体"/>
                <w:szCs w:val="21"/>
                <w:highlight w:val="none"/>
              </w:rPr>
              <w:t>》，识别有客户、供方、员工、</w:t>
            </w:r>
            <w:r>
              <w:rPr>
                <w:rFonts w:hint="default" w:ascii="宋体" w:hAnsi="宋体" w:cs="宋体"/>
                <w:szCs w:val="21"/>
              </w:rPr>
              <w:t>政府部门等相关方需求和期望</w:t>
            </w:r>
            <w:r>
              <w:rPr>
                <w:rFonts w:hint="eastAsia" w:ascii="宋体" w:hAnsi="宋体" w:cs="宋体"/>
                <w:szCs w:val="21"/>
                <w:lang w:eastAsia="zh-CN"/>
              </w:rPr>
              <w:t>。</w:t>
            </w:r>
            <w:r>
              <w:rPr>
                <w:rFonts w:hint="eastAsia" w:ascii="宋体" w:hAnsi="宋体" w:cs="宋体"/>
                <w:szCs w:val="21"/>
                <w:lang w:val="en-US" w:eastAsia="zh-CN"/>
              </w:rPr>
              <w:t>查提供有《相关方要求发放记录》《相关方告知书》。</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360" w:lineRule="auto"/>
              <w:rPr>
                <w:rFonts w:ascii="宋体" w:hAnsi="宋体" w:cs="宋体"/>
                <w:szCs w:val="21"/>
              </w:rPr>
            </w:pPr>
            <w:r>
              <w:rPr>
                <w:rFonts w:hint="eastAsia" w:ascii="宋体" w:hAnsi="宋体" w:cs="宋体"/>
                <w:szCs w:val="21"/>
              </w:rPr>
              <w:t>确定管理体系的范围</w:t>
            </w:r>
          </w:p>
          <w:p>
            <w:pPr>
              <w:spacing w:line="360" w:lineRule="auto"/>
            </w:pPr>
          </w:p>
        </w:tc>
        <w:tc>
          <w:tcPr>
            <w:tcW w:w="1012" w:type="dxa"/>
          </w:tcPr>
          <w:p>
            <w:pPr>
              <w:spacing w:line="360" w:lineRule="auto"/>
              <w:rPr>
                <w:rFonts w:ascii="宋体" w:hAnsi="宋体" w:cs="宋体"/>
                <w:szCs w:val="21"/>
              </w:rPr>
            </w:pPr>
            <w:r>
              <w:rPr>
                <w:rFonts w:hint="eastAsia" w:ascii="宋体" w:hAnsi="宋体" w:cs="宋体"/>
                <w:szCs w:val="21"/>
              </w:rPr>
              <w:t>Q4.3</w:t>
            </w:r>
          </w:p>
          <w:p>
            <w:pPr>
              <w:spacing w:line="360" w:lineRule="auto"/>
            </w:pPr>
          </w:p>
        </w:tc>
        <w:tc>
          <w:tcPr>
            <w:tcW w:w="10642" w:type="dxa"/>
            <w:vAlign w:val="center"/>
          </w:tcPr>
          <w:p>
            <w:pPr>
              <w:autoSpaceDE w:val="0"/>
              <w:autoSpaceDN w:val="0"/>
              <w:adjustRightInd w:val="0"/>
              <w:spacing w:line="360" w:lineRule="auto"/>
              <w:rPr>
                <w:rFonts w:hint="eastAsia"/>
              </w:rPr>
            </w:pPr>
            <w:r>
              <w:rPr>
                <w:rFonts w:hint="eastAsia"/>
              </w:rPr>
              <w:t>公司管理体系服务范围：Q：铸铁件、铸钢件、焊接件、工量具生产及销售；机械加工。</w:t>
            </w:r>
          </w:p>
          <w:p>
            <w:pPr>
              <w:autoSpaceDE w:val="0"/>
              <w:autoSpaceDN w:val="0"/>
              <w:adjustRightInd w:val="0"/>
              <w:spacing w:line="360" w:lineRule="auto"/>
              <w:rPr>
                <w:sz w:val="20"/>
              </w:rPr>
            </w:pPr>
            <w:r>
              <w:rPr>
                <w:rFonts w:hint="eastAsia"/>
              </w:rPr>
              <w:t>本公司</w:t>
            </w:r>
            <w:r>
              <w:rPr>
                <w:rFonts w:hint="eastAsia"/>
                <w:lang w:val="en-US" w:eastAsia="zh-CN"/>
              </w:rPr>
              <w:t>依据客户图纸或国家标准进行加工，不涉及8.3条款，目前</w:t>
            </w:r>
            <w:r>
              <w:rPr>
                <w:rFonts w:hint="eastAsia"/>
              </w:rPr>
              <w:t>无设计和开发，本条款不适用。</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tcPr>
          <w:p>
            <w:pPr>
              <w:spacing w:line="360" w:lineRule="auto"/>
              <w:rPr>
                <w:rFonts w:ascii="宋体" w:hAnsi="宋体" w:cs="宋体"/>
                <w:szCs w:val="21"/>
              </w:rPr>
            </w:pPr>
            <w:r>
              <w:rPr>
                <w:rFonts w:hint="eastAsia" w:ascii="宋体" w:hAnsi="宋体" w:cs="宋体"/>
                <w:szCs w:val="21"/>
              </w:rPr>
              <w:t>管理体系及其过程</w:t>
            </w:r>
          </w:p>
          <w:p>
            <w:pPr>
              <w:spacing w:line="360" w:lineRule="auto"/>
            </w:pPr>
          </w:p>
        </w:tc>
        <w:tc>
          <w:tcPr>
            <w:tcW w:w="1012" w:type="dxa"/>
          </w:tcPr>
          <w:p>
            <w:pPr>
              <w:spacing w:line="360" w:lineRule="auto"/>
              <w:rPr>
                <w:rFonts w:ascii="宋体" w:hAnsi="宋体" w:cs="宋体"/>
                <w:szCs w:val="21"/>
              </w:rPr>
            </w:pPr>
            <w:r>
              <w:rPr>
                <w:rFonts w:hint="eastAsia" w:ascii="宋体" w:hAnsi="宋体" w:cs="宋体"/>
                <w:szCs w:val="21"/>
              </w:rPr>
              <w:t>Q4.4</w:t>
            </w:r>
          </w:p>
          <w:p>
            <w:pPr>
              <w:spacing w:line="360" w:lineRule="auto"/>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w:t>
            </w:r>
            <w:r>
              <w:rPr>
                <w:rFonts w:hint="eastAsia" w:ascii="宋体" w:hAnsi="宋体" w:cs="宋体"/>
                <w:szCs w:val="21"/>
                <w:lang w:val="en-US" w:eastAsia="zh-CN"/>
              </w:rPr>
              <w:t>季度</w:t>
            </w:r>
            <w:r>
              <w:rPr>
                <w:rFonts w:hint="eastAsia" w:ascii="宋体" w:hAnsi="宋体" w:cs="宋体"/>
                <w:szCs w:val="21"/>
              </w:rPr>
              <w:t>对管理目标完成情况进行统计分析，出示</w:t>
            </w:r>
            <w:r>
              <w:rPr>
                <w:rFonts w:hint="eastAsia" w:ascii="宋体" w:hAnsi="宋体" w:cs="宋体"/>
                <w:szCs w:val="21"/>
                <w:lang w:val="en-US" w:eastAsia="zh-CN"/>
              </w:rPr>
              <w:t>2021年1</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lang w:val="en-US" w:eastAsia="zh-CN"/>
              </w:rPr>
              <w:t>3月、4</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lang w:val="en-US" w:eastAsia="zh-CN"/>
              </w:rPr>
              <w:t>6月、7</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lang w:val="en-US" w:eastAsia="zh-CN"/>
              </w:rPr>
              <w:t>9月</w:t>
            </w:r>
            <w:r>
              <w:rPr>
                <w:rFonts w:hint="eastAsia" w:ascii="宋体" w:hAnsi="宋体" w:cs="宋体"/>
                <w:szCs w:val="21"/>
              </w:rPr>
              <w:t>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w:t>
            </w:r>
            <w:r>
              <w:rPr>
                <w:rFonts w:hint="eastAsia" w:ascii="宋体" w:hAnsi="宋体" w:cs="宋体"/>
                <w:szCs w:val="21"/>
                <w:lang w:eastAsia="zh-CN"/>
              </w:rPr>
              <w:t>质量/环境</w:t>
            </w:r>
            <w:r>
              <w:rPr>
                <w:rFonts w:hint="eastAsia" w:ascii="宋体" w:hAnsi="宋体" w:cs="宋体"/>
                <w:szCs w:val="21"/>
              </w:rPr>
              <w:t>管理体系及其过程方法，编制《管理手册》，作为公司</w:t>
            </w:r>
            <w:r>
              <w:rPr>
                <w:rFonts w:hint="eastAsia" w:ascii="宋体" w:hAnsi="宋体" w:cs="宋体"/>
                <w:szCs w:val="21"/>
                <w:lang w:val="en-US" w:eastAsia="zh-CN"/>
              </w:rPr>
              <w:t>体系</w:t>
            </w:r>
            <w:r>
              <w:rPr>
                <w:rFonts w:hint="eastAsia" w:ascii="宋体" w:hAnsi="宋体" w:cs="宋体"/>
                <w:szCs w:val="21"/>
              </w:rPr>
              <w:t>管理的纲领性文件；编制《程序文件》，说明本公司内部</w:t>
            </w:r>
            <w:r>
              <w:rPr>
                <w:rFonts w:hint="eastAsia" w:ascii="宋体" w:hAnsi="宋体" w:cs="宋体"/>
                <w:szCs w:val="21"/>
                <w:lang w:eastAsia="zh-CN"/>
              </w:rPr>
              <w:t>质量/环境</w:t>
            </w:r>
            <w:r>
              <w:rPr>
                <w:rFonts w:hint="eastAsia" w:ascii="宋体" w:hAnsi="宋体" w:cs="宋体"/>
                <w:szCs w:val="21"/>
              </w:rPr>
              <w:t>体系运行的各过程及其之间的顺序和相互作用；编制各类支持性文件及记录表格等作为证明过程运行的证据。</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360" w:lineRule="auto"/>
              <w:rPr>
                <w:rFonts w:ascii="宋体" w:hAnsi="宋体" w:cs="宋体"/>
                <w:szCs w:val="21"/>
              </w:rPr>
            </w:pPr>
            <w:r>
              <w:rPr>
                <w:rFonts w:hint="eastAsia" w:ascii="宋体" w:hAnsi="宋体" w:cs="宋体"/>
                <w:szCs w:val="21"/>
              </w:rPr>
              <w:t>领导作用与承诺</w:t>
            </w:r>
          </w:p>
          <w:p>
            <w:pPr>
              <w:spacing w:line="360" w:lineRule="auto"/>
            </w:pPr>
          </w:p>
        </w:tc>
        <w:tc>
          <w:tcPr>
            <w:tcW w:w="1012" w:type="dxa"/>
          </w:tcPr>
          <w:p>
            <w:pPr>
              <w:spacing w:line="360" w:lineRule="auto"/>
              <w:rPr>
                <w:rFonts w:ascii="宋体" w:hAnsi="宋体" w:cs="宋体"/>
                <w:szCs w:val="21"/>
              </w:rPr>
            </w:pPr>
            <w:r>
              <w:rPr>
                <w:rFonts w:hint="eastAsia" w:ascii="宋体" w:hAnsi="宋体" w:cs="宋体"/>
                <w:szCs w:val="21"/>
              </w:rPr>
              <w:t>Q5.1</w:t>
            </w:r>
          </w:p>
          <w:p>
            <w:pPr>
              <w:spacing w:line="360" w:lineRule="auto"/>
              <w:rPr>
                <w:rFonts w:ascii="宋体" w:hAnsi="宋体" w:cs="宋体"/>
                <w:szCs w:val="21"/>
              </w:rPr>
            </w:pPr>
          </w:p>
          <w:p>
            <w:pPr>
              <w:spacing w:line="360" w:lineRule="auto"/>
            </w:pPr>
          </w:p>
        </w:tc>
        <w:tc>
          <w:tcPr>
            <w:tcW w:w="10642" w:type="dxa"/>
            <w:vAlign w:val="center"/>
          </w:tcPr>
          <w:p>
            <w:pPr>
              <w:spacing w:line="360" w:lineRule="auto"/>
              <w:ind w:firstLine="420" w:firstLineChars="200"/>
              <w:rPr>
                <w:rFonts w:ascii="宋体" w:hAnsi="宋体" w:cs="宋体"/>
                <w:szCs w:val="21"/>
              </w:rPr>
            </w:pPr>
            <w:r>
              <w:rPr>
                <w:rFonts w:hint="eastAsia" w:ascii="宋体" w:hAnsi="宋体" w:eastAsia="宋体" w:cs="宋体"/>
                <w:szCs w:val="21"/>
              </w:rPr>
              <w:t>公司</w:t>
            </w:r>
            <w:r>
              <w:rPr>
                <w:rFonts w:hint="eastAsia" w:ascii="宋体" w:hAnsi="宋体" w:cs="宋体"/>
                <w:szCs w:val="21"/>
                <w:lang w:val="en-US" w:eastAsia="zh-CN"/>
              </w:rPr>
              <w:t>总经理王奎峰</w:t>
            </w:r>
            <w:r>
              <w:rPr>
                <w:rFonts w:hint="eastAsia" w:ascii="宋体" w:hAnsi="宋体" w:eastAsia="宋体" w:cs="宋体"/>
                <w:szCs w:val="21"/>
              </w:rPr>
              <w:t>介</w:t>
            </w:r>
            <w:r>
              <w:rPr>
                <w:rFonts w:hint="eastAsia" w:ascii="宋体" w:hAnsi="宋体" w:cs="宋体"/>
                <w:szCs w:val="21"/>
              </w:rPr>
              <w:t>绍主要承诺有：</w:t>
            </w:r>
          </w:p>
          <w:p>
            <w:pPr>
              <w:spacing w:line="360" w:lineRule="auto"/>
              <w:ind w:firstLine="420" w:firstLineChars="200"/>
              <w:rPr>
                <w:rFonts w:hint="eastAsia" w:ascii="宋体" w:hAnsi="宋体" w:cs="宋体"/>
                <w:szCs w:val="21"/>
              </w:rPr>
            </w:pPr>
            <w:r>
              <w:rPr>
                <w:rFonts w:hint="eastAsia" w:ascii="宋体" w:hAnsi="宋体" w:cs="宋体"/>
                <w:szCs w:val="21"/>
              </w:rPr>
              <w:t>1)对公司的质量、环境和职业健康安全管理体系的有效性承担责任；</w:t>
            </w:r>
          </w:p>
          <w:p>
            <w:pPr>
              <w:spacing w:line="360" w:lineRule="auto"/>
              <w:ind w:firstLine="420" w:firstLineChars="200"/>
              <w:rPr>
                <w:rFonts w:hint="eastAsia" w:ascii="宋体" w:hAnsi="宋体" w:cs="宋体"/>
                <w:szCs w:val="21"/>
              </w:rPr>
            </w:pPr>
            <w:r>
              <w:rPr>
                <w:rFonts w:hint="eastAsia" w:ascii="宋体" w:hAnsi="宋体" w:cs="宋体"/>
                <w:szCs w:val="21"/>
              </w:rPr>
              <w:t>2)确保公司管理方针和目标的建立,并确保其与公司的战略方向及所处的环境相一致；</w:t>
            </w:r>
          </w:p>
          <w:p>
            <w:pPr>
              <w:spacing w:line="360" w:lineRule="auto"/>
              <w:ind w:firstLine="420" w:firstLineChars="200"/>
              <w:rPr>
                <w:rFonts w:hint="eastAsia" w:ascii="宋体" w:hAnsi="宋体" w:cs="宋体"/>
                <w:szCs w:val="21"/>
              </w:rPr>
            </w:pPr>
            <w:r>
              <w:rPr>
                <w:rFonts w:hint="eastAsia" w:ascii="宋体" w:hAnsi="宋体" w:cs="宋体"/>
                <w:szCs w:val="21"/>
              </w:rPr>
              <w:t>3)确保公司质量、环境和职业健康安全管理体系要求融入到公司的各种业务过程；</w:t>
            </w:r>
          </w:p>
          <w:p>
            <w:pPr>
              <w:spacing w:line="360" w:lineRule="auto"/>
              <w:ind w:firstLine="420" w:firstLineChars="200"/>
              <w:rPr>
                <w:rFonts w:hint="eastAsia" w:ascii="宋体" w:hAnsi="宋体" w:cs="宋体"/>
                <w:szCs w:val="21"/>
              </w:rPr>
            </w:pPr>
            <w:r>
              <w:rPr>
                <w:rFonts w:hint="eastAsia" w:ascii="宋体" w:hAnsi="宋体" w:cs="宋体"/>
                <w:szCs w:val="21"/>
              </w:rPr>
              <w:t>4)确保获得公司质量、环境和职业健康安全管理体系所需的资源；</w:t>
            </w:r>
          </w:p>
          <w:p>
            <w:pPr>
              <w:spacing w:line="360" w:lineRule="auto"/>
              <w:ind w:firstLine="420" w:firstLineChars="200"/>
              <w:rPr>
                <w:rFonts w:hint="eastAsia" w:ascii="宋体" w:hAnsi="宋体" w:cs="宋体"/>
                <w:szCs w:val="21"/>
              </w:rPr>
            </w:pPr>
            <w:r>
              <w:rPr>
                <w:rFonts w:hint="eastAsia" w:ascii="宋体" w:hAnsi="宋体" w:cs="宋体"/>
                <w:szCs w:val="21"/>
              </w:rPr>
              <w:t>5)就有效的质量、环境和职业健康安全管理重要性和符合其管理体系要求的重要性进行沟通；</w:t>
            </w:r>
          </w:p>
          <w:p>
            <w:pPr>
              <w:spacing w:line="360" w:lineRule="auto"/>
              <w:ind w:firstLine="420" w:firstLineChars="200"/>
              <w:rPr>
                <w:rFonts w:hint="eastAsia" w:ascii="宋体" w:hAnsi="宋体" w:cs="宋体"/>
                <w:szCs w:val="21"/>
              </w:rPr>
            </w:pPr>
            <w:r>
              <w:rPr>
                <w:rFonts w:hint="eastAsia" w:ascii="宋体" w:hAnsi="宋体" w:cs="宋体"/>
                <w:szCs w:val="21"/>
              </w:rPr>
              <w:t>6)确保公司的质量、环境和职业健康安全管理体系体系使用过程方法和基于风险的思维；</w:t>
            </w:r>
          </w:p>
          <w:p>
            <w:pPr>
              <w:spacing w:line="360" w:lineRule="auto"/>
              <w:ind w:firstLine="420" w:firstLineChars="200"/>
              <w:rPr>
                <w:rFonts w:hint="eastAsia" w:ascii="宋体" w:hAnsi="宋体" w:cs="宋体"/>
                <w:szCs w:val="21"/>
              </w:rPr>
            </w:pPr>
            <w:r>
              <w:rPr>
                <w:rFonts w:hint="eastAsia" w:ascii="宋体" w:hAnsi="宋体" w:cs="宋体"/>
                <w:szCs w:val="21"/>
              </w:rPr>
              <w:t>7)确保公司质量、环境和职业健康安全管理体系的预期结果；</w:t>
            </w:r>
          </w:p>
          <w:p>
            <w:pPr>
              <w:spacing w:line="360" w:lineRule="auto"/>
              <w:ind w:firstLine="420" w:firstLineChars="200"/>
              <w:rPr>
                <w:rFonts w:hint="eastAsia" w:ascii="宋体" w:hAnsi="宋体" w:cs="宋体"/>
                <w:szCs w:val="21"/>
              </w:rPr>
            </w:pPr>
            <w:r>
              <w:rPr>
                <w:rFonts w:hint="eastAsia" w:ascii="宋体" w:hAnsi="宋体" w:cs="宋体"/>
                <w:szCs w:val="21"/>
              </w:rPr>
              <w:t>8) 促使、指导和支持员工努力提高管理体系的有效性，并对管理体系的有效性做出贡献；</w:t>
            </w:r>
          </w:p>
          <w:p>
            <w:pPr>
              <w:spacing w:line="360" w:lineRule="auto"/>
              <w:ind w:firstLine="420" w:firstLineChars="200"/>
              <w:rPr>
                <w:rFonts w:hint="eastAsia" w:ascii="宋体" w:hAnsi="宋体" w:cs="宋体"/>
                <w:szCs w:val="21"/>
              </w:rPr>
            </w:pPr>
            <w:r>
              <w:rPr>
                <w:rFonts w:hint="eastAsia" w:ascii="宋体" w:hAnsi="宋体" w:cs="宋体"/>
                <w:szCs w:val="21"/>
              </w:rPr>
              <w:t>9)推动质量、环境和职业健康安全管理体系的改进；</w:t>
            </w:r>
          </w:p>
          <w:p>
            <w:pPr>
              <w:spacing w:line="360" w:lineRule="auto"/>
              <w:ind w:firstLine="420" w:firstLineChars="200"/>
              <w:rPr>
                <w:rFonts w:hint="eastAsia" w:ascii="宋体" w:hAnsi="宋体" w:cs="宋体"/>
                <w:szCs w:val="21"/>
              </w:rPr>
            </w:pPr>
            <w:r>
              <w:rPr>
                <w:rFonts w:hint="eastAsia" w:ascii="宋体" w:hAnsi="宋体" w:cs="宋体"/>
                <w:szCs w:val="21"/>
              </w:rPr>
              <w:t>10)支持其他管理者履行其相关领域的职责。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tcPr>
          <w:p>
            <w:pPr>
              <w:spacing w:line="360" w:lineRule="auto"/>
              <w:rPr>
                <w:rFonts w:ascii="宋体" w:hAnsi="宋体" w:cs="宋体"/>
                <w:szCs w:val="21"/>
              </w:rPr>
            </w:pPr>
            <w:r>
              <w:rPr>
                <w:rFonts w:hint="eastAsia" w:ascii="宋体" w:hAnsi="宋体" w:cs="宋体"/>
                <w:szCs w:val="21"/>
              </w:rPr>
              <w:t>方针</w:t>
            </w:r>
          </w:p>
          <w:p>
            <w:pPr>
              <w:spacing w:line="360" w:lineRule="auto"/>
              <w:rPr>
                <w:rFonts w:ascii="宋体" w:hAnsi="宋体" w:cs="宋体"/>
                <w:szCs w:val="21"/>
              </w:rPr>
            </w:pPr>
            <w:r>
              <w:rPr>
                <w:rFonts w:hint="eastAsia" w:ascii="宋体" w:hAnsi="宋体" w:cs="宋体"/>
                <w:szCs w:val="21"/>
              </w:rPr>
              <w:t>制定方针</w:t>
            </w:r>
          </w:p>
          <w:p>
            <w:pPr>
              <w:spacing w:line="360" w:lineRule="auto"/>
            </w:pPr>
            <w:r>
              <w:rPr>
                <w:rFonts w:hint="eastAsia" w:ascii="宋体" w:hAnsi="宋体" w:cs="宋体"/>
                <w:szCs w:val="21"/>
              </w:rPr>
              <w:t>沟通方针</w:t>
            </w:r>
          </w:p>
        </w:tc>
        <w:tc>
          <w:tcPr>
            <w:tcW w:w="1012" w:type="dxa"/>
          </w:tcPr>
          <w:p>
            <w:pPr>
              <w:spacing w:line="360" w:lineRule="auto"/>
              <w:rPr>
                <w:rFonts w:ascii="宋体" w:hAnsi="宋体" w:cs="宋体"/>
                <w:szCs w:val="21"/>
              </w:rPr>
            </w:pPr>
            <w:r>
              <w:rPr>
                <w:rFonts w:hint="eastAsia" w:ascii="宋体" w:hAnsi="宋体" w:cs="宋体"/>
                <w:szCs w:val="21"/>
              </w:rPr>
              <w:t>Q5.2</w:t>
            </w:r>
          </w:p>
          <w:p>
            <w:pPr>
              <w:snapToGrid w:val="0"/>
              <w:spacing w:line="360" w:lineRule="auto"/>
              <w:rPr>
                <w:szCs w:val="21"/>
              </w:rPr>
            </w:pPr>
          </w:p>
          <w:p>
            <w:pPr>
              <w:spacing w:line="360" w:lineRule="auto"/>
              <w:rPr>
                <w:rFonts w:ascii="宋体" w:hAnsi="宋体" w:cs="宋体"/>
                <w:szCs w:val="21"/>
              </w:rPr>
            </w:pPr>
          </w:p>
          <w:p>
            <w:pPr>
              <w:spacing w:line="360" w:lineRule="auto"/>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管理方针：</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守法诚信追求精品，预防污染保护环境；关爱员工健康安全，持续改进追求卓越。</w:t>
            </w:r>
          </w:p>
          <w:p>
            <w:pPr>
              <w:spacing w:line="360" w:lineRule="auto"/>
              <w:ind w:firstLine="420" w:firstLineChars="200"/>
              <w:rPr>
                <w:rFonts w:hint="eastAsia" w:ascii="宋体" w:hAnsi="宋体" w:cs="宋体"/>
                <w:szCs w:val="21"/>
              </w:rPr>
            </w:pPr>
            <w:r>
              <w:rPr>
                <w:rFonts w:hint="eastAsia" w:ascii="宋体" w:hAnsi="宋体" w:cs="宋体"/>
                <w:szCs w:val="21"/>
              </w:rPr>
              <w:t>公司以质量、环境</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rPr>
              <w:t>标准为基础，结合公司实际特制定管理方针。与</w:t>
            </w: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hint="eastAsia" w:ascii="宋体" w:hAnsi="宋体" w:cs="宋体"/>
                <w:szCs w:val="21"/>
              </w:rPr>
            </w:pP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用会议、文件等手段保证管理方针为全体员工理解并落实到工作中。</w:t>
            </w: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以上管理方针通过文件、培训等形式将公司管理方针传达给所有为公司工作或代表公司的人员，相关方也可获取公司管理方针。</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rFonts w:ascii="宋体" w:hAnsi="宋体" w:cs="宋体"/>
                <w:szCs w:val="21"/>
              </w:rPr>
            </w:pPr>
          </w:p>
        </w:tc>
        <w:tc>
          <w:tcPr>
            <w:tcW w:w="1012" w:type="dxa"/>
          </w:tcPr>
          <w:p>
            <w:pPr>
              <w:spacing w:line="360" w:lineRule="auto"/>
              <w:rPr>
                <w:rFonts w:ascii="宋体" w:cs="宋体"/>
                <w:szCs w:val="21"/>
              </w:rPr>
            </w:pPr>
            <w:r>
              <w:rPr>
                <w:rFonts w:ascii="宋体" w:cs="宋体"/>
                <w:szCs w:val="21"/>
              </w:rPr>
              <w:t>Q5.3</w:t>
            </w:r>
          </w:p>
          <w:p>
            <w:pPr>
              <w:spacing w:line="360" w:lineRule="auto"/>
            </w:pPr>
          </w:p>
        </w:tc>
        <w:tc>
          <w:tcPr>
            <w:tcW w:w="10642"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确定了部门、各岗位人员职责、权限和相互关系，并在公司内对各级员工进行了必要的传达。对从事与服务有关的管理、执行和验证人员规定其职责、权限及其相互关系，以实现公司管理方针和管理目标。</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建立、实施和保持公司管理体系所需的过程，公司任命</w:t>
            </w:r>
            <w:r>
              <w:rPr>
                <w:rFonts w:hint="eastAsia" w:ascii="宋体" w:hAnsi="宋体" w:cs="宋体"/>
                <w:szCs w:val="21"/>
                <w:lang w:val="en-US" w:eastAsia="zh-CN"/>
              </w:rPr>
              <w:t>李桂荣</w:t>
            </w:r>
            <w:r>
              <w:rPr>
                <w:rFonts w:hint="eastAsia" w:ascii="宋体" w:hAnsi="宋体" w:cs="宋体"/>
                <w:szCs w:val="21"/>
                <w:lang w:eastAsia="zh-CN"/>
              </w:rPr>
              <w:t>为管理者代表。</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其职责和权限规定如下：</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1）负责审核管理手册和程序文件；</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2）批准技术性文件；审核质量/环境/职业健康安全管理体系中的其他管理性文件；</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3）确保质量/环境/职业健康安全管理体系在各过程中得到建立、实施并向最高管理者报告体系运行的绩效和其他信息，包括改进的需求；</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4）贯彻质量/环境/职业健康安全方针，落实质量/环境/职业健康安全目标；</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5）确保整个组织内形成并逐步提高满足顾客需求的意识；</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6）负责组织质量/环境/职业健康安全管理体系的内部审核；</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7）就质量/环境/职业健康安全管理体系的相关事宜对外联络。</w:t>
            </w:r>
          </w:p>
          <w:p>
            <w:pPr>
              <w:spacing w:line="360" w:lineRule="auto"/>
              <w:ind w:firstLine="420" w:firstLineChars="200"/>
              <w:rPr>
                <w:bCs w:val="0"/>
                <w:spacing w:val="0"/>
              </w:rPr>
            </w:pPr>
            <w:r>
              <w:rPr>
                <w:rFonts w:hint="eastAsia" w:ascii="宋体" w:hAnsi="宋体" w:cs="宋体"/>
                <w:szCs w:val="21"/>
                <w:lang w:eastAsia="zh-CN"/>
              </w:rPr>
              <w:t>询问管代</w:t>
            </w:r>
            <w:r>
              <w:rPr>
                <w:rFonts w:hint="eastAsia" w:ascii="宋体" w:hAnsi="宋体" w:cs="宋体"/>
                <w:szCs w:val="21"/>
                <w:lang w:val="en-US" w:eastAsia="zh-CN"/>
              </w:rPr>
              <w:t>李桂荣</w:t>
            </w:r>
            <w:r>
              <w:rPr>
                <w:rFonts w:hint="eastAsia" w:ascii="宋体" w:hAnsi="宋体" w:cs="宋体"/>
                <w:szCs w:val="21"/>
                <w:lang w:eastAsia="zh-CN"/>
              </w:rPr>
              <w:t>职责回答正确。</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spacing w:line="360" w:lineRule="auto"/>
              <w:rPr>
                <w:rFonts w:ascii="宋体" w:hAnsi="宋体" w:cs="宋体"/>
                <w:szCs w:val="21"/>
              </w:rPr>
            </w:pPr>
            <w:r>
              <w:rPr>
                <w:rFonts w:hint="eastAsia" w:ascii="宋体" w:hAnsi="宋体" w:cs="宋体"/>
                <w:szCs w:val="21"/>
              </w:rPr>
              <w:t>应对风险和机遇的措施</w:t>
            </w:r>
          </w:p>
          <w:p>
            <w:pPr>
              <w:spacing w:line="360" w:lineRule="auto"/>
              <w:rPr>
                <w:rFonts w:ascii="宋体" w:hAnsi="宋体" w:cs="宋体"/>
                <w:szCs w:val="21"/>
              </w:rPr>
            </w:pPr>
          </w:p>
        </w:tc>
        <w:tc>
          <w:tcPr>
            <w:tcW w:w="1012" w:type="dxa"/>
          </w:tcPr>
          <w:p>
            <w:pPr>
              <w:spacing w:line="360" w:lineRule="auto"/>
              <w:rPr>
                <w:rFonts w:ascii="宋体" w:hAnsi="宋体" w:cs="宋体"/>
                <w:szCs w:val="21"/>
              </w:rPr>
            </w:pPr>
            <w:r>
              <w:rPr>
                <w:rFonts w:hint="eastAsia" w:ascii="宋体" w:hAnsi="宋体" w:cs="宋体"/>
                <w:szCs w:val="21"/>
                <w:highlight w:val="none"/>
              </w:rPr>
              <w:t>Q6.1</w:t>
            </w:r>
          </w:p>
          <w:p>
            <w:pPr>
              <w:spacing w:line="360" w:lineRule="auto"/>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查制定有《</w:t>
            </w:r>
            <w:r>
              <w:rPr>
                <w:rFonts w:hint="eastAsia" w:ascii="宋体" w:hAnsi="宋体" w:cs="宋体"/>
                <w:szCs w:val="21"/>
                <w:lang w:eastAsia="zh-CN"/>
              </w:rPr>
              <w:t>风险和机遇控制程序》（ZJJX-CX-03-2020），</w:t>
            </w:r>
            <w:r>
              <w:rPr>
                <w:rFonts w:hint="eastAsia" w:ascii="宋体" w:hAnsi="宋体" w:cs="宋体"/>
                <w:szCs w:val="21"/>
                <w:lang w:val="en-US" w:eastAsia="zh-CN"/>
              </w:rPr>
              <w:t>提供有《风险和机遇评估分析表》，</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企业识别了如下分析：</w:t>
            </w:r>
          </w:p>
          <w:p>
            <w:pPr>
              <w:numPr>
                <w:ilvl w:val="0"/>
                <w:numId w:val="1"/>
              </w:num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外部供方：</w:t>
            </w:r>
          </w:p>
          <w:p>
            <w:pPr>
              <w:numPr>
                <w:ilvl w:val="0"/>
                <w:numId w:val="0"/>
              </w:numPr>
              <w:spacing w:line="360" w:lineRule="auto"/>
              <w:ind w:leftChars="300"/>
              <w:rPr>
                <w:rFonts w:hint="eastAsia" w:ascii="宋体" w:hAnsi="宋体" w:cs="宋体"/>
                <w:szCs w:val="21"/>
                <w:lang w:eastAsia="zh-CN"/>
              </w:rPr>
            </w:pPr>
            <w:r>
              <w:rPr>
                <w:rFonts w:hint="eastAsia" w:ascii="宋体" w:hAnsi="宋体" w:cs="宋体"/>
                <w:szCs w:val="21"/>
                <w:lang w:eastAsia="zh-CN"/>
              </w:rPr>
              <w:t>风险：供方不能及时送货，或者产品质量有问题。</w:t>
            </w:r>
          </w:p>
          <w:p>
            <w:pPr>
              <w:numPr>
                <w:ilvl w:val="0"/>
                <w:numId w:val="0"/>
              </w:numPr>
              <w:spacing w:line="360" w:lineRule="auto"/>
              <w:ind w:leftChars="300"/>
              <w:rPr>
                <w:rFonts w:hint="eastAsia" w:ascii="宋体" w:hAnsi="宋体" w:cs="宋体"/>
                <w:szCs w:val="21"/>
                <w:lang w:eastAsia="zh-CN"/>
              </w:rPr>
            </w:pPr>
            <w:r>
              <w:rPr>
                <w:rFonts w:hint="eastAsia" w:ascii="宋体" w:hAnsi="宋体" w:cs="宋体"/>
                <w:szCs w:val="21"/>
                <w:lang w:eastAsia="zh-CN"/>
              </w:rPr>
              <w:t>机遇：</w:t>
            </w:r>
            <w:r>
              <w:rPr>
                <w:rFonts w:hint="eastAsia" w:ascii="宋体" w:hAnsi="宋体"/>
                <w:lang w:eastAsia="zh-CN"/>
              </w:rPr>
              <w:t>节假日电商产品促销</w:t>
            </w:r>
            <w:r>
              <w:rPr>
                <w:rFonts w:hint="eastAsia" w:ascii="Calibri" w:hAnsi="Calibri" w:cs="Calibri"/>
                <w:szCs w:val="21"/>
                <w:lang w:eastAsia="zh-CN"/>
              </w:rPr>
              <w:t>。</w:t>
            </w:r>
          </w:p>
          <w:p>
            <w:pPr>
              <w:numPr>
                <w:ilvl w:val="0"/>
                <w:numId w:val="1"/>
              </w:numPr>
              <w:spacing w:line="360" w:lineRule="auto"/>
              <w:ind w:left="0" w:leftChars="0" w:firstLine="420" w:firstLineChars="200"/>
              <w:rPr>
                <w:rFonts w:hint="eastAsia" w:ascii="宋体" w:hAnsi="宋体" w:cs="宋体"/>
                <w:szCs w:val="21"/>
                <w:lang w:eastAsia="zh-CN"/>
              </w:rPr>
            </w:pPr>
            <w:r>
              <w:rPr>
                <w:rFonts w:hint="eastAsia" w:ascii="宋体" w:hAnsi="宋体" w:cs="宋体"/>
                <w:szCs w:val="21"/>
                <w:lang w:eastAsia="zh-CN"/>
              </w:rPr>
              <w:t>顾客过程：</w:t>
            </w:r>
          </w:p>
          <w:p>
            <w:pPr>
              <w:numPr>
                <w:ilvl w:val="0"/>
                <w:numId w:val="0"/>
              </w:numPr>
              <w:spacing w:line="360" w:lineRule="auto"/>
              <w:ind w:leftChars="300"/>
              <w:rPr>
                <w:rFonts w:hint="default" w:ascii="宋体" w:hAnsi="宋体" w:cs="宋体"/>
                <w:szCs w:val="21"/>
                <w:lang w:val="en-US" w:eastAsia="zh-CN"/>
              </w:rPr>
            </w:pPr>
            <w:r>
              <w:rPr>
                <w:rFonts w:hint="eastAsia" w:ascii="宋体" w:hAnsi="宋体" w:cs="宋体"/>
                <w:szCs w:val="21"/>
                <w:lang w:val="en-US" w:eastAsia="zh-CN"/>
              </w:rPr>
              <w:t>风险：</w:t>
            </w:r>
            <w:r>
              <w:rPr>
                <w:rFonts w:hint="eastAsia" w:ascii="宋体" w:hAnsi="宋体" w:cs="宋体"/>
                <w:szCs w:val="21"/>
                <w:lang w:eastAsia="zh-CN"/>
              </w:rPr>
              <w:t>合同履行中顾客要求推迟验收，原因：或资金短缺或顾客方有重大活动（如项目未完工或增加项目等）。机遇：</w:t>
            </w:r>
            <w:r>
              <w:rPr>
                <w:rFonts w:hint="eastAsia" w:ascii="宋体" w:hAnsi="宋体"/>
                <w:color w:val="000000"/>
              </w:rPr>
              <w:t>顾客想充分利用本公司资源，提出愿意与本公司合作开发新的项目</w:t>
            </w:r>
            <w:r>
              <w:rPr>
                <w:rFonts w:hint="eastAsia" w:ascii="宋体" w:hAnsi="宋体" w:cs="宋体"/>
                <w:szCs w:val="21"/>
                <w:lang w:val="en-US" w:eastAsia="zh-CN"/>
              </w:rPr>
              <w:t>。</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3、人员管理过程：</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numPr>
                <w:ilvl w:val="0"/>
                <w:numId w:val="0"/>
              </w:numPr>
              <w:spacing w:line="360" w:lineRule="auto"/>
              <w:ind w:leftChars="200"/>
              <w:rPr>
                <w:rFonts w:hint="eastAsia" w:ascii="宋体" w:hAnsi="宋体" w:cs="宋体"/>
                <w:szCs w:val="21"/>
                <w:lang w:eastAsia="zh-CN"/>
              </w:rPr>
            </w:pPr>
            <w:r>
              <w:rPr>
                <w:rFonts w:hint="eastAsia" w:ascii="宋体" w:hAnsi="宋体" w:cs="宋体"/>
                <w:szCs w:val="21"/>
                <w:lang w:eastAsia="zh-CN"/>
              </w:rPr>
              <w:t>机遇：有本行业技术人才、主动要求加入本公司，旨在帮助企业、施展才能。</w:t>
            </w:r>
          </w:p>
          <w:p>
            <w:pPr>
              <w:numPr>
                <w:ilvl w:val="0"/>
                <w:numId w:val="2"/>
              </w:num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基础设施控制过程：</w:t>
            </w:r>
          </w:p>
          <w:p>
            <w:pPr>
              <w:numPr>
                <w:ilvl w:val="0"/>
                <w:numId w:val="0"/>
              </w:numPr>
              <w:spacing w:line="360" w:lineRule="auto"/>
              <w:ind w:leftChars="200"/>
              <w:rPr>
                <w:rFonts w:hint="eastAsia" w:ascii="宋体" w:hAnsi="宋体" w:cs="宋体"/>
                <w:szCs w:val="21"/>
                <w:lang w:eastAsia="zh-CN"/>
              </w:rPr>
            </w:pPr>
            <w:r>
              <w:rPr>
                <w:rFonts w:hint="eastAsia" w:ascii="宋体" w:hAnsi="宋体" w:cs="宋体"/>
                <w:szCs w:val="21"/>
                <w:lang w:eastAsia="zh-CN"/>
              </w:rPr>
              <w:t>风险：所用能源（电、水）突然停止供应。</w:t>
            </w:r>
          </w:p>
          <w:p>
            <w:pPr>
              <w:numPr>
                <w:ilvl w:val="0"/>
                <w:numId w:val="0"/>
              </w:numPr>
              <w:spacing w:line="360" w:lineRule="auto"/>
              <w:ind w:leftChars="200"/>
              <w:rPr>
                <w:rFonts w:hint="eastAsia" w:ascii="宋体" w:hAnsi="宋体" w:cs="宋体"/>
                <w:szCs w:val="21"/>
                <w:lang w:eastAsia="zh-CN"/>
              </w:rPr>
            </w:pPr>
            <w:r>
              <w:rPr>
                <w:rFonts w:hint="eastAsia" w:ascii="宋体" w:hAnsi="宋体" w:cs="宋体"/>
                <w:szCs w:val="21"/>
                <w:lang w:eastAsia="zh-CN"/>
              </w:rPr>
              <w:t>机遇：</w:t>
            </w:r>
            <w:r>
              <w:rPr>
                <w:rFonts w:hint="eastAsia" w:ascii="宋体" w:hAnsi="宋体"/>
                <w:color w:val="auto"/>
                <w:sz w:val="21"/>
                <w:szCs w:val="21"/>
              </w:rPr>
              <w:t>配备</w:t>
            </w:r>
            <w:r>
              <w:rPr>
                <w:rFonts w:hint="eastAsia" w:ascii="宋体" w:hAnsi="宋体"/>
                <w:color w:val="auto"/>
                <w:sz w:val="21"/>
                <w:szCs w:val="21"/>
                <w:lang w:val="en-US" w:eastAsia="zh-CN"/>
              </w:rPr>
              <w:t>有</w:t>
            </w:r>
            <w:r>
              <w:rPr>
                <w:rFonts w:hint="eastAsia" w:ascii="宋体" w:hAnsi="宋体"/>
                <w:color w:val="auto"/>
                <w:sz w:val="21"/>
                <w:szCs w:val="21"/>
                <w:lang w:eastAsia="zh-CN"/>
              </w:rPr>
              <w:t>应急电源，</w:t>
            </w:r>
            <w:r>
              <w:rPr>
                <w:rFonts w:hint="eastAsia" w:ascii="宋体" w:hAnsi="宋体"/>
                <w:color w:val="auto"/>
                <w:sz w:val="21"/>
                <w:szCs w:val="21"/>
                <w:lang w:val="en-US" w:eastAsia="zh-CN"/>
              </w:rPr>
              <w:t>不影响进度</w:t>
            </w:r>
            <w:r>
              <w:rPr>
                <w:rFonts w:hint="eastAsia" w:ascii="宋体" w:hAnsi="宋体" w:cs="宋体"/>
                <w:szCs w:val="21"/>
                <w:lang w:eastAsia="zh-CN"/>
              </w:rPr>
              <w:t>。</w:t>
            </w:r>
          </w:p>
          <w:p>
            <w:pPr>
              <w:spacing w:line="360" w:lineRule="auto"/>
              <w:ind w:firstLine="420" w:firstLineChars="200"/>
              <w:rPr>
                <w:rFonts w:hint="eastAsia" w:eastAsia="宋体"/>
                <w:lang w:eastAsia="zh-CN"/>
              </w:rPr>
            </w:pPr>
            <w:r>
              <w:rPr>
                <w:rFonts w:hint="eastAsia" w:ascii="宋体" w:hAnsi="宋体" w:cs="宋体"/>
                <w:szCs w:val="21"/>
                <w:lang w:eastAsia="zh-CN"/>
              </w:rPr>
              <w:t>风险评估结论：对于以上涉及到的主要风险，一旦发生，均可能对公司的发展造成巨大损失，所以我们应时刻监视并评价相关环境因素，尽可能的规避风险或降低发生概率。</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1012"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Q6.2</w:t>
            </w:r>
          </w:p>
          <w:p>
            <w:pPr>
              <w:spacing w:line="360" w:lineRule="auto"/>
              <w:rPr>
                <w:rFonts w:asciiTheme="minorEastAsia" w:hAnsiTheme="minorEastAsia" w:eastAsiaTheme="minorEastAsia" w:cstheme="minorEastAsia"/>
                <w:szCs w:val="21"/>
              </w:rPr>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公司对管理体系所需的相关职能、层次和过程设定管理目标。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质量目标：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――产品出厂合格率100%；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――顾客满意度95%以上。</w:t>
            </w:r>
          </w:p>
          <w:p>
            <w:pPr>
              <w:spacing w:line="360" w:lineRule="auto"/>
              <w:ind w:firstLine="420" w:firstLineChars="200"/>
              <w:rPr>
                <w:rFonts w:ascii="宋体" w:hAnsi="宋体" w:cs="宋体"/>
                <w:szCs w:val="21"/>
              </w:rPr>
            </w:pPr>
            <w:r>
              <w:rPr>
                <w:rFonts w:hint="eastAsia" w:ascii="宋体" w:hAnsi="宋体" w:cs="宋体"/>
                <w:szCs w:val="21"/>
              </w:rPr>
              <w:t>每</w:t>
            </w:r>
            <w:r>
              <w:rPr>
                <w:rFonts w:hint="eastAsia" w:ascii="宋体" w:hAnsi="宋体" w:cs="宋体"/>
                <w:szCs w:val="21"/>
                <w:lang w:val="en-US" w:eastAsia="zh-CN"/>
              </w:rPr>
              <w:t>季度</w:t>
            </w:r>
            <w:r>
              <w:rPr>
                <w:rFonts w:hint="eastAsia" w:ascii="宋体" w:hAnsi="宋体" w:cs="宋体"/>
                <w:szCs w:val="21"/>
              </w:rPr>
              <w:t>对管理目标完成情况进行统计分析，出示</w:t>
            </w:r>
            <w:r>
              <w:rPr>
                <w:rFonts w:hint="eastAsia" w:ascii="宋体" w:hAnsi="宋体" w:cs="宋体"/>
                <w:szCs w:val="21"/>
                <w:lang w:val="en-US" w:eastAsia="zh-CN"/>
              </w:rPr>
              <w:t>2021年1</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lang w:val="en-US" w:eastAsia="zh-CN"/>
              </w:rPr>
              <w:t>3月、4</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lang w:val="en-US" w:eastAsia="zh-CN"/>
              </w:rPr>
              <w:t>6月、7</w:t>
            </w:r>
            <w:r>
              <w:rPr>
                <w:rFonts w:hint="eastAsia" w:ascii="宋体" w:hAnsi="宋体" w:cs="宋体"/>
                <w:szCs w:val="21"/>
              </w:rPr>
              <w:t>月</w:t>
            </w:r>
            <w:r>
              <w:rPr>
                <w:rFonts w:hint="eastAsia" w:ascii="宋体" w:hAnsi="宋体" w:cs="宋体"/>
                <w:szCs w:val="21"/>
                <w:lang w:eastAsia="zh-CN"/>
              </w:rPr>
              <w:t>～</w:t>
            </w:r>
            <w:r>
              <w:rPr>
                <w:rFonts w:hint="eastAsia" w:ascii="宋体" w:hAnsi="宋体" w:cs="宋体"/>
                <w:szCs w:val="21"/>
                <w:lang w:val="en-US" w:eastAsia="zh-CN"/>
              </w:rPr>
              <w:t>9月</w:t>
            </w:r>
            <w:r>
              <w:rPr>
                <w:rFonts w:hint="eastAsia" w:ascii="宋体" w:hAnsi="宋体" w:cs="宋体"/>
                <w:szCs w:val="21"/>
              </w:rPr>
              <w:t>管理目标分解及完成情况记录。</w:t>
            </w:r>
          </w:p>
          <w:p>
            <w:pPr>
              <w:spacing w:line="360" w:lineRule="auto"/>
              <w:ind w:firstLine="420" w:firstLineChars="200"/>
            </w:pPr>
            <w:r>
              <w:rPr>
                <w:rFonts w:hint="eastAsia" w:ascii="宋体" w:hAnsi="宋体" w:cs="宋体"/>
                <w:szCs w:val="21"/>
                <w:lang w:val="en-US" w:eastAsia="zh-CN"/>
              </w:rPr>
              <w:t>目标可测量，与公司管理方针一致。每年由综合部按公司管理目标考核要求统计考核公司管理目标完成情况，提交管理评审会议，基本有效。</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szCs w:val="21"/>
              </w:rPr>
            </w:pPr>
            <w:r>
              <w:rPr>
                <w:rFonts w:hint="eastAsia" w:ascii="宋体" w:hAnsi="宋体" w:cs="宋体"/>
                <w:szCs w:val="21"/>
              </w:rPr>
              <w:t>变更的策划</w:t>
            </w:r>
          </w:p>
          <w:p>
            <w:pPr>
              <w:spacing w:line="360" w:lineRule="auto"/>
              <w:rPr>
                <w:rFonts w:ascii="宋体" w:hAnsi="宋体" w:cs="宋体"/>
                <w:szCs w:val="21"/>
              </w:rPr>
            </w:pPr>
          </w:p>
        </w:tc>
        <w:tc>
          <w:tcPr>
            <w:tcW w:w="1012" w:type="dxa"/>
          </w:tcPr>
          <w:p>
            <w:pPr>
              <w:spacing w:line="360" w:lineRule="auto"/>
              <w:rPr>
                <w:szCs w:val="21"/>
              </w:rPr>
            </w:pPr>
            <w:r>
              <w:rPr>
                <w:rFonts w:hint="eastAsia"/>
                <w:szCs w:val="21"/>
              </w:rPr>
              <w:t>Q6.3</w:t>
            </w:r>
          </w:p>
          <w:p>
            <w:pPr>
              <w:pStyle w:val="2"/>
              <w:spacing w:line="360" w:lineRule="auto"/>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与总经理沟通，当外部环境（如政策法规、技术、竞争、经济、自然环境等）和内部环境（如组织结构、战略、承诺、价值观、资源、文化等）发生重大变化，可能影响质量、环境和职业健康安全管理体系的运行或对经营活动带来一定风险时，总经理组织对质量、环境和职业健康安全管理体系进行变更策划，变更应依据管理手册4.4的要求策划并系统地实施，策划时应考虑到：变更目的及其潜在后果；质量、环境和职业健康安全管理体系的完整性；资源的可获得性；责任和权限的分配或再分配。</w:t>
            </w:r>
          </w:p>
          <w:p>
            <w:pPr>
              <w:spacing w:line="360" w:lineRule="auto"/>
              <w:ind w:firstLine="420" w:firstLineChars="200"/>
              <w:rPr>
                <w:rFonts w:ascii="宋体" w:hAnsi="宋体" w:cs="宋体"/>
                <w:szCs w:val="21"/>
              </w:rPr>
            </w:pPr>
            <w:r>
              <w:rPr>
                <w:rFonts w:hint="eastAsia" w:ascii="宋体" w:hAnsi="宋体" w:cs="宋体"/>
                <w:szCs w:val="21"/>
                <w:lang w:val="en-US" w:eastAsia="zh-CN"/>
              </w:rPr>
              <w:t>公司目前暂无变更。</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资源、总则</w:t>
            </w:r>
          </w:p>
          <w:p>
            <w:pPr>
              <w:spacing w:line="360" w:lineRule="auto"/>
              <w:rPr>
                <w:rFonts w:ascii="宋体" w:hAnsi="宋体" w:cs="宋体"/>
                <w:szCs w:val="21"/>
              </w:rPr>
            </w:pPr>
          </w:p>
        </w:tc>
        <w:tc>
          <w:tcPr>
            <w:tcW w:w="1012" w:type="dxa"/>
          </w:tcPr>
          <w:p>
            <w:pPr>
              <w:spacing w:line="360" w:lineRule="auto"/>
              <w:rPr>
                <w:szCs w:val="21"/>
                <w:highlight w:val="none"/>
              </w:rPr>
            </w:pPr>
            <w:r>
              <w:rPr>
                <w:rFonts w:hint="eastAsia"/>
                <w:szCs w:val="21"/>
                <w:highlight w:val="none"/>
              </w:rPr>
              <w:t>Q</w:t>
            </w:r>
            <w:r>
              <w:rPr>
                <w:rFonts w:hint="eastAsia"/>
                <w:szCs w:val="21"/>
                <w:highlight w:val="none"/>
                <w:lang w:val="en-US" w:eastAsia="zh-CN"/>
              </w:rPr>
              <w:t>7.1</w:t>
            </w:r>
          </w:p>
          <w:p>
            <w:pPr>
              <w:spacing w:line="360" w:lineRule="auto"/>
            </w:pPr>
          </w:p>
        </w:tc>
        <w:tc>
          <w:tcPr>
            <w:tcW w:w="10642" w:type="dxa"/>
            <w:vAlign w:val="center"/>
          </w:tcPr>
          <w:p>
            <w:pPr>
              <w:spacing w:line="360" w:lineRule="auto"/>
              <w:ind w:firstLine="420" w:firstLineChars="200"/>
              <w:rPr>
                <w:rFonts w:hint="eastAsia"/>
                <w:lang w:val="en-US" w:eastAsia="zh-CN"/>
              </w:rPr>
            </w:pPr>
            <w:r>
              <w:rPr>
                <w:rFonts w:hint="eastAsia"/>
                <w:lang w:val="en-US" w:eastAsia="zh-CN"/>
              </w:rPr>
              <w:t>查公司配备了必要的人力资源，基础设施，规范文件、资金等必要的资源，能够持续满足顾客需求和管理体系改进的需要。</w:t>
            </w:r>
          </w:p>
          <w:p>
            <w:pPr>
              <w:spacing w:line="360" w:lineRule="auto"/>
              <w:ind w:firstLine="420" w:firstLineChars="200"/>
              <w:rPr>
                <w:rFonts w:hint="default"/>
                <w:lang w:val="en-US" w:eastAsia="zh-CN"/>
              </w:rPr>
            </w:pPr>
            <w:r>
              <w:rPr>
                <w:rFonts w:hint="eastAsia"/>
                <w:lang w:val="en-US" w:eastAsia="zh-CN"/>
              </w:rPr>
              <w:t>部门：综合部、销售部、生产部、质检部</w:t>
            </w:r>
          </w:p>
          <w:p>
            <w:pPr>
              <w:spacing w:line="360" w:lineRule="auto"/>
              <w:ind w:firstLine="420" w:firstLineChars="200"/>
              <w:rPr>
                <w:rFonts w:hint="default"/>
                <w:lang w:val="en-US" w:eastAsia="zh-CN"/>
              </w:rPr>
            </w:pPr>
            <w:r>
              <w:rPr>
                <w:rFonts w:hint="eastAsia"/>
                <w:lang w:val="en-US" w:eastAsia="zh-CN"/>
              </w:rPr>
              <w:t>人员：办公人员、业务人员、销售人员、财务人员、设计人员</w:t>
            </w:r>
          </w:p>
          <w:p>
            <w:pPr>
              <w:spacing w:line="360" w:lineRule="auto"/>
              <w:ind w:firstLine="420" w:firstLineChars="200"/>
              <w:rPr>
                <w:rFonts w:hint="eastAsia"/>
                <w:lang w:val="en-US" w:eastAsia="zh-CN"/>
              </w:rPr>
            </w:pPr>
            <w:r>
              <w:rPr>
                <w:rFonts w:hint="eastAsia"/>
                <w:lang w:val="en-US" w:eastAsia="zh-CN"/>
              </w:rPr>
              <w:t xml:space="preserve">办公设备：电脑、工控机、电话、打印机等 </w:t>
            </w:r>
          </w:p>
          <w:p>
            <w:pPr>
              <w:spacing w:line="360" w:lineRule="auto"/>
              <w:ind w:firstLine="420" w:firstLineChars="200"/>
              <w:rPr>
                <w:rFonts w:hint="eastAsia"/>
                <w:lang w:val="en-US" w:eastAsia="zh-CN"/>
              </w:rPr>
            </w:pPr>
            <w:r>
              <w:rPr>
                <w:rFonts w:hint="eastAsia"/>
                <w:lang w:val="en-US" w:eastAsia="zh-CN"/>
              </w:rPr>
              <w:t xml:space="preserve">生产设备：冲天炉、电炉、砂箱、砂处理设备、震动落砂台、角磨机、龙门导轨磨、万能铣等。  </w:t>
            </w:r>
          </w:p>
          <w:p>
            <w:pPr>
              <w:spacing w:line="360" w:lineRule="auto"/>
              <w:ind w:firstLine="420" w:firstLineChars="200"/>
              <w:rPr>
                <w:rFonts w:hint="eastAsia"/>
                <w:lang w:val="en-US" w:eastAsia="zh-CN"/>
              </w:rPr>
            </w:pPr>
            <w:r>
              <w:rPr>
                <w:rFonts w:hint="eastAsia"/>
                <w:lang w:val="en-US" w:eastAsia="zh-CN"/>
              </w:rPr>
              <w:t>环保设备：在打磨、电炉、砂处理、混砂、落砂等设备上方均安装有吸风罩，经密闭管道连接布袋除尘器；冲天炉连接脱硫除尘设备；浇注工序安装有吸风罩通过密闭管道连接至活性炭吸附装置进行尾气处理。</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2160" w:type="dxa"/>
            <w:vAlign w:val="center"/>
          </w:tcPr>
          <w:p>
            <w:pPr>
              <w:spacing w:line="360" w:lineRule="auto"/>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Q9.1</w:t>
            </w:r>
            <w:r>
              <w:rPr>
                <w:rFonts w:hint="eastAsia" w:asciiTheme="minorEastAsia" w:hAnsiTheme="minorEastAsia" w:eastAsiaTheme="minorEastAsia" w:cstheme="minorEastAsia"/>
                <w:szCs w:val="21"/>
                <w:lang w:val="en-US" w:eastAsia="zh-CN"/>
              </w:rPr>
              <w:t>.1</w:t>
            </w:r>
          </w:p>
          <w:p>
            <w:pPr>
              <w:spacing w:line="360" w:lineRule="auto"/>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编制有《顾客满意度测量控制程序》（ZJJX-CX-25-2020）、《监视、测量、分析和评价控制程序》（ZJJX-CX-15-2020）、《内部审核控制程序》（ZJJX-CX-16-2020）、《管理评审控制程序》（ZJJX-CX-17-2020），为保证公司质量管理体系的有效运行，通过对管理绩效的监视与测量，确保体系运行的有效性。</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综合部提供了质量目标，规定了分解部门，分解值与采取的措施，考核频次为每季度。</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抽查质量目标完成情况、管理目标完成情况报告，目标均完成。</w:t>
            </w:r>
          </w:p>
          <w:p>
            <w:pPr>
              <w:spacing w:line="360" w:lineRule="auto"/>
              <w:ind w:firstLine="420" w:firstLineChars="200"/>
              <w:rPr>
                <w:rFonts w:ascii="宋体" w:hAnsi="宋体"/>
                <w:szCs w:val="21"/>
              </w:rPr>
            </w:pPr>
            <w:r>
              <w:rPr>
                <w:rFonts w:hint="eastAsia" w:ascii="宋体" w:hAnsi="宋体" w:cs="宋体"/>
                <w:szCs w:val="21"/>
                <w:lang w:val="en-US" w:eastAsia="zh-CN"/>
              </w:rPr>
              <w:t>目前未发现公司出现违规现象。</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2160" w:type="dxa"/>
          </w:tcPr>
          <w:p>
            <w:pPr>
              <w:spacing w:line="360" w:lineRule="auto"/>
              <w:rPr>
                <w:rFonts w:ascii="宋体" w:hAnsi="宋体" w:cs="宋体"/>
                <w:szCs w:val="21"/>
              </w:rPr>
            </w:pPr>
            <w:r>
              <w:rPr>
                <w:rFonts w:hint="eastAsia" w:ascii="宋体" w:hAnsi="宋体" w:cs="宋体"/>
                <w:szCs w:val="21"/>
              </w:rPr>
              <w:t>管理评审</w:t>
            </w:r>
          </w:p>
          <w:p>
            <w:pPr>
              <w:spacing w:line="360" w:lineRule="auto"/>
              <w:rPr>
                <w:rFonts w:ascii="宋体" w:hAnsi="宋体" w:cs="宋体"/>
                <w:szCs w:val="21"/>
              </w:rPr>
            </w:pPr>
          </w:p>
        </w:tc>
        <w:tc>
          <w:tcPr>
            <w:tcW w:w="1012" w:type="dxa"/>
          </w:tcPr>
          <w:p>
            <w:pPr>
              <w:spacing w:line="360" w:lineRule="auto"/>
              <w:rPr>
                <w:szCs w:val="21"/>
              </w:rPr>
            </w:pPr>
            <w:r>
              <w:rPr>
                <w:rFonts w:hint="eastAsia"/>
                <w:szCs w:val="21"/>
              </w:rPr>
              <w:t>Q9.3</w:t>
            </w:r>
          </w:p>
          <w:p>
            <w:pPr>
              <w:spacing w:line="360" w:lineRule="auto"/>
              <w:rPr>
                <w:szCs w:val="21"/>
              </w:rPr>
            </w:pPr>
          </w:p>
          <w:p>
            <w:pPr>
              <w:spacing w:line="360" w:lineRule="auto"/>
              <w:rPr>
                <w:szCs w:val="21"/>
              </w:rPr>
            </w:pPr>
          </w:p>
          <w:p>
            <w:pPr>
              <w:spacing w:line="360" w:lineRule="auto"/>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查编制有《管理评审控制程序》（ZJJX-CX-17-2020），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1.管理评审计划，</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评审时间：计划评审时间：2020年11月30日，编制/审核：王金金 批准：王奎峰 日期：2020年11月23日   参加人员包括总经理：王奎峰  管代：李桂荣 综合部：王金金 销售部：陈燕 质检部：李双和  生产部：刘长生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员工代表：王银银  等，计划中明确了评审内容和资料准备要求。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2.管理评审内容：</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1)公司内外部环境、相关方的需求和期望、应对风险和机遇的措施及评价</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2）内部审核结果分析报告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3）目标完成情况及质量、环境、健安绩效报告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4）纠正措施、预防措施效果分析报告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5）管理方针、目标适宜性分析报告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6）法律法规和其他要求遵循情况分析报告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7）关于如何提高公司管理体系运行质量和效率的建议</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8）顾客反馈及满意度调查情况，相关方环境、健安信息沟通情况</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9）过程绩效及产品符合性总结，健安管理参与协商结果</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10）影响体系变更情况提出了自体系运行以来取得的成绩和存在的不足3.总经理作会议总结。提供管理评审报告。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管理评审结论：公司QES管理体系运行情况充分体现了QES管理体系标准是适宜于公司管理体系运行实际的，公司配置了必要的资源，公司QES管理体系涉及管理过程、资源管理过程、、产品实现过程、服务过程、改进过程充分识别并有效实施控制，都表明公司的QES管理体系是适宜的、充分的，满足QES管理体系运行的基本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4、改进建议：</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提高产品质量、提高工作效率；强化学习公司管理体系文件要求，使员工加深理解了公司QES管理体系运行、保持和持续改进的基本要求，整体提高公司的管理水平和市场竞争力，提升公司品牌形象。</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管理体系与公司经营管理相结合，运行的检查与指导纳入各部门月度目标考核中，强化过程管理，保证体系正常运行。</w:t>
            </w:r>
          </w:p>
          <w:p>
            <w:pPr>
              <w:spacing w:line="360" w:lineRule="auto"/>
              <w:ind w:firstLine="420" w:firstLineChars="200"/>
              <w:rPr>
                <w:rFonts w:hint="eastAsia"/>
              </w:rPr>
            </w:pPr>
            <w:r>
              <w:rPr>
                <w:rFonts w:hint="eastAsia" w:ascii="宋体" w:hAnsi="宋体" w:cs="宋体"/>
                <w:szCs w:val="21"/>
                <w:lang w:val="en-US" w:eastAsia="zh-CN"/>
              </w:rPr>
              <w:t>5、改进措施：管理评审会后由综合部部负责安排组织公司管理体系文件培训学习；有关专业知识的培训，由生产部负责组织，并将计划报综合部。招聘人员由综合部和技术部负责寻找人才信息，面试考核。</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360" w:lineRule="auto"/>
              <w:rPr>
                <w:rFonts w:ascii="宋体" w:hAnsi="宋体" w:cs="宋体"/>
                <w:szCs w:val="21"/>
              </w:rPr>
            </w:pPr>
            <w:r>
              <w:rPr>
                <w:rFonts w:hint="eastAsia" w:ascii="宋体" w:hAnsi="宋体" w:cs="宋体"/>
                <w:szCs w:val="21"/>
              </w:rPr>
              <w:t>总则</w:t>
            </w:r>
          </w:p>
          <w:p>
            <w:pPr>
              <w:spacing w:line="360" w:lineRule="auto"/>
              <w:rPr>
                <w:rFonts w:ascii="宋体" w:hAnsi="宋体" w:cs="宋体"/>
                <w:szCs w:val="21"/>
              </w:rPr>
            </w:pPr>
          </w:p>
        </w:tc>
        <w:tc>
          <w:tcPr>
            <w:tcW w:w="1012" w:type="dxa"/>
          </w:tcPr>
          <w:p>
            <w:pPr>
              <w:spacing w:line="360" w:lineRule="auto"/>
              <w:rPr>
                <w:szCs w:val="21"/>
              </w:rPr>
            </w:pPr>
            <w:r>
              <w:rPr>
                <w:rFonts w:hint="eastAsia"/>
                <w:szCs w:val="21"/>
              </w:rPr>
              <w:t>Q10.1</w:t>
            </w:r>
          </w:p>
          <w:p>
            <w:pPr>
              <w:spacing w:line="360" w:lineRule="auto"/>
            </w:pPr>
          </w:p>
        </w:tc>
        <w:tc>
          <w:tcPr>
            <w:tcW w:w="10642" w:type="dxa"/>
          </w:tcPr>
          <w:p>
            <w:pPr>
              <w:spacing w:line="360" w:lineRule="auto"/>
              <w:ind w:firstLine="420" w:firstLineChars="200"/>
              <w:rPr>
                <w:rFonts w:ascii="宋体" w:hAnsi="宋体" w:cs="宋体"/>
                <w:szCs w:val="21"/>
              </w:rPr>
            </w:pPr>
            <w:r>
              <w:rPr>
                <w:rFonts w:hint="eastAsia" w:ascii="宋体" w:hAnsi="宋体" w:cs="宋体"/>
                <w:szCs w:val="21"/>
                <w:lang w:val="en-US" w:eastAsia="zh-CN"/>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持续改进</w:t>
            </w:r>
          </w:p>
        </w:tc>
        <w:tc>
          <w:tcPr>
            <w:tcW w:w="1012" w:type="dxa"/>
          </w:tcPr>
          <w:p>
            <w:pPr>
              <w:spacing w:line="360" w:lineRule="auto"/>
              <w:rPr>
                <w:szCs w:val="21"/>
              </w:rPr>
            </w:pPr>
            <w:r>
              <w:rPr>
                <w:rFonts w:hint="eastAsia"/>
                <w:szCs w:val="21"/>
              </w:rPr>
              <w:t>Q10.3</w:t>
            </w: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为</w:t>
            </w:r>
            <w:r>
              <w:rPr>
                <w:rFonts w:hint="eastAsia" w:ascii="宋体" w:hAnsi="宋体" w:cs="宋体"/>
                <w:szCs w:val="21"/>
                <w:lang w:val="en-US" w:eastAsia="zh-CN"/>
              </w:rPr>
              <w:t>使质量/管理体系实现预期结果和提高顾客满意，公司识别并选择改进的机会，采取包括改进产品和服务，纠正、预防或减少非预期情况给组织带来的不利影响等措施，改进体系的绩效和有效性。</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根据不同过程、不同产品和不同要求，采取不同的方法进行监视、测量和分析。</w:t>
            </w:r>
          </w:p>
          <w:p>
            <w:pPr>
              <w:spacing w:line="360" w:lineRule="auto"/>
              <w:ind w:firstLine="420" w:firstLineChars="200"/>
              <w:rPr>
                <w:rFonts w:ascii="宋体" w:hAnsi="宋体" w:cs="宋体"/>
                <w:szCs w:val="21"/>
              </w:rPr>
            </w:pPr>
            <w:r>
              <w:rPr>
                <w:rFonts w:hint="eastAsia" w:ascii="宋体" w:hAnsi="宋体" w:cs="宋体"/>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9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360" w:lineRule="auto"/>
              <w:rPr>
                <w:rFonts w:ascii="宋体" w:hAnsi="宋体" w:cs="宋体"/>
                <w:szCs w:val="21"/>
              </w:rPr>
            </w:pPr>
            <w:r>
              <w:rPr>
                <w:rFonts w:hint="eastAsia" w:ascii="宋体" w:hAnsi="宋体" w:cs="宋体"/>
                <w:szCs w:val="21"/>
              </w:rPr>
              <w:t>一阶段问题验证/投诉或事故/政府主管部门监督抽查情况</w:t>
            </w:r>
          </w:p>
        </w:tc>
        <w:tc>
          <w:tcPr>
            <w:tcW w:w="1012" w:type="dxa"/>
          </w:tcPr>
          <w:p>
            <w:pPr>
              <w:spacing w:line="360" w:lineRule="auto"/>
            </w:pPr>
          </w:p>
        </w:tc>
        <w:tc>
          <w:tcPr>
            <w:tcW w:w="10642" w:type="dxa"/>
            <w:vAlign w:val="center"/>
          </w:tcPr>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查</w:t>
            </w:r>
            <w:r>
              <w:rPr>
                <w:rFonts w:hint="eastAsia" w:ascii="宋体" w:hAnsi="宋体" w:cs="宋体"/>
                <w:szCs w:val="21"/>
              </w:rPr>
              <w:t>一阶段问题</w:t>
            </w:r>
            <w:r>
              <w:rPr>
                <w:rFonts w:hint="eastAsia" w:ascii="宋体" w:hAnsi="宋体" w:cs="宋体"/>
                <w:szCs w:val="21"/>
                <w:lang w:val="en-US" w:eastAsia="zh-CN"/>
              </w:rPr>
              <w:t>已整改</w:t>
            </w:r>
          </w:p>
          <w:p>
            <w:pPr>
              <w:spacing w:line="360" w:lineRule="auto"/>
              <w:ind w:firstLine="420" w:firstLineChars="200"/>
              <w:rPr>
                <w:rFonts w:hint="eastAsia" w:ascii="宋体" w:hAnsi="宋体" w:cs="宋体"/>
                <w:szCs w:val="21"/>
              </w:rPr>
            </w:pPr>
            <w:r>
              <w:rPr>
                <w:rFonts w:hint="eastAsia" w:ascii="宋体" w:hAnsi="宋体" w:cs="宋体"/>
                <w:szCs w:val="21"/>
              </w:rPr>
              <w:t>公司管理体系自运行以来，未发生质量、环境、职业健康安全事故</w:t>
            </w:r>
          </w:p>
          <w:p>
            <w:pPr>
              <w:spacing w:line="360" w:lineRule="auto"/>
              <w:ind w:firstLine="420" w:firstLineChars="200"/>
              <w:rPr>
                <w:rFonts w:hint="eastAsia" w:ascii="宋体" w:hAnsi="宋体" w:cs="宋体"/>
                <w:szCs w:val="21"/>
              </w:rPr>
            </w:pPr>
            <w:r>
              <w:rPr>
                <w:rFonts w:hint="eastAsia" w:ascii="宋体" w:hAnsi="宋体" w:cs="宋体"/>
                <w:szCs w:val="21"/>
              </w:rPr>
              <w:t>管理体系运行期间未发生顾客及相关方投诉情况</w:t>
            </w:r>
          </w:p>
          <w:p>
            <w:pPr>
              <w:spacing w:line="360" w:lineRule="auto"/>
              <w:ind w:firstLine="420" w:firstLineChars="200"/>
              <w:rPr>
                <w:rFonts w:hint="eastAsia" w:ascii="宋体" w:hAnsi="宋体" w:cs="宋体"/>
                <w:szCs w:val="21"/>
              </w:rPr>
            </w:pPr>
            <w:r>
              <w:rPr>
                <w:rFonts w:hint="eastAsia" w:ascii="宋体" w:hAnsi="宋体" w:cs="宋体"/>
                <w:szCs w:val="21"/>
              </w:rPr>
              <w:t>目前没有上级主管部门对公司的在质量、环境、职业健康安全监督抽查</w:t>
            </w:r>
          </w:p>
          <w:p>
            <w:pPr>
              <w:spacing w:line="360" w:lineRule="auto"/>
              <w:ind w:firstLine="420" w:firstLineChars="200"/>
            </w:pPr>
            <w:r>
              <w:rPr>
                <w:rFonts w:hint="eastAsia" w:ascii="宋体" w:hAnsi="宋体" w:cs="宋体"/>
                <w:szCs w:val="21"/>
              </w:rPr>
              <w:t>目前公司经营过程中没有发生违反相关法律法规及其他要求的情况</w:t>
            </w:r>
          </w:p>
        </w:tc>
        <w:tc>
          <w:tcPr>
            <w:tcW w:w="895" w:type="dxa"/>
          </w:tcPr>
          <w:p>
            <w:pPr>
              <w:spacing w:line="360" w:lineRule="auto"/>
            </w:pPr>
            <w:r>
              <w:rPr>
                <w:rFonts w:hint="eastAsia" w:ascii="宋体" w:hAnsi="宋体" w:cs="宋体"/>
                <w:szCs w:val="21"/>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DAD84"/>
    <w:multiLevelType w:val="singleLevel"/>
    <w:tmpl w:val="855DAD84"/>
    <w:lvl w:ilvl="0" w:tentative="0">
      <w:start w:val="4"/>
      <w:numFmt w:val="decimal"/>
      <w:suff w:val="nothing"/>
      <w:lvlText w:val="%1、"/>
      <w:lvlJc w:val="left"/>
    </w:lvl>
  </w:abstractNum>
  <w:abstractNum w:abstractNumId="1">
    <w:nsid w:val="1AA94484"/>
    <w:multiLevelType w:val="multilevel"/>
    <w:tmpl w:val="1AA94484"/>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1815D28"/>
    <w:rsid w:val="01967A6E"/>
    <w:rsid w:val="02B84719"/>
    <w:rsid w:val="03640893"/>
    <w:rsid w:val="06770ADF"/>
    <w:rsid w:val="069E7BAA"/>
    <w:rsid w:val="07622B1B"/>
    <w:rsid w:val="07E00E5F"/>
    <w:rsid w:val="087032D5"/>
    <w:rsid w:val="08A51C02"/>
    <w:rsid w:val="08F12EC5"/>
    <w:rsid w:val="09EE4EC2"/>
    <w:rsid w:val="09F832E0"/>
    <w:rsid w:val="0AE65CCB"/>
    <w:rsid w:val="0B250CFE"/>
    <w:rsid w:val="0DB71123"/>
    <w:rsid w:val="0E0D4B6C"/>
    <w:rsid w:val="0E2D1AD5"/>
    <w:rsid w:val="0FB77A13"/>
    <w:rsid w:val="102A2CE8"/>
    <w:rsid w:val="108219C2"/>
    <w:rsid w:val="113A015C"/>
    <w:rsid w:val="12CB3340"/>
    <w:rsid w:val="13CE2B6D"/>
    <w:rsid w:val="13D9390E"/>
    <w:rsid w:val="14462253"/>
    <w:rsid w:val="15AB31D4"/>
    <w:rsid w:val="15F0156D"/>
    <w:rsid w:val="170D1054"/>
    <w:rsid w:val="18153357"/>
    <w:rsid w:val="18522B34"/>
    <w:rsid w:val="19A14DE0"/>
    <w:rsid w:val="1A306340"/>
    <w:rsid w:val="1AC458AB"/>
    <w:rsid w:val="1B45087A"/>
    <w:rsid w:val="1B61480E"/>
    <w:rsid w:val="1BD76431"/>
    <w:rsid w:val="1D21494C"/>
    <w:rsid w:val="1DB426B0"/>
    <w:rsid w:val="201C35DE"/>
    <w:rsid w:val="223D0EF6"/>
    <w:rsid w:val="22870307"/>
    <w:rsid w:val="24533B56"/>
    <w:rsid w:val="248A78EC"/>
    <w:rsid w:val="24FE116D"/>
    <w:rsid w:val="256A526F"/>
    <w:rsid w:val="25EB74EE"/>
    <w:rsid w:val="26215433"/>
    <w:rsid w:val="263654B6"/>
    <w:rsid w:val="28491A9D"/>
    <w:rsid w:val="2ABA198F"/>
    <w:rsid w:val="2D807A3F"/>
    <w:rsid w:val="2E4E2574"/>
    <w:rsid w:val="30282054"/>
    <w:rsid w:val="308E1E33"/>
    <w:rsid w:val="30A27C87"/>
    <w:rsid w:val="312266EE"/>
    <w:rsid w:val="331872FF"/>
    <w:rsid w:val="331D334B"/>
    <w:rsid w:val="33860BB9"/>
    <w:rsid w:val="33BC0D70"/>
    <w:rsid w:val="343C2A26"/>
    <w:rsid w:val="34524295"/>
    <w:rsid w:val="34ED1C2F"/>
    <w:rsid w:val="351279DA"/>
    <w:rsid w:val="353721E6"/>
    <w:rsid w:val="353E7C57"/>
    <w:rsid w:val="370F1F76"/>
    <w:rsid w:val="39992ABD"/>
    <w:rsid w:val="39A30999"/>
    <w:rsid w:val="3AC8408D"/>
    <w:rsid w:val="3B81186A"/>
    <w:rsid w:val="3D4B5885"/>
    <w:rsid w:val="3DAC16ED"/>
    <w:rsid w:val="3E03163F"/>
    <w:rsid w:val="3E183177"/>
    <w:rsid w:val="3F9427B5"/>
    <w:rsid w:val="416555AC"/>
    <w:rsid w:val="41C05420"/>
    <w:rsid w:val="42D724F4"/>
    <w:rsid w:val="44CE10A7"/>
    <w:rsid w:val="453271D0"/>
    <w:rsid w:val="46F15EB1"/>
    <w:rsid w:val="49774A1A"/>
    <w:rsid w:val="49BA7E0C"/>
    <w:rsid w:val="4A5F6016"/>
    <w:rsid w:val="4B314636"/>
    <w:rsid w:val="4D2860C7"/>
    <w:rsid w:val="4DE94ACF"/>
    <w:rsid w:val="4F22587D"/>
    <w:rsid w:val="50AE1FD3"/>
    <w:rsid w:val="52447F1C"/>
    <w:rsid w:val="531A76A7"/>
    <w:rsid w:val="54A958D4"/>
    <w:rsid w:val="59362CFC"/>
    <w:rsid w:val="59E776B5"/>
    <w:rsid w:val="5A410478"/>
    <w:rsid w:val="5A924C04"/>
    <w:rsid w:val="5B270D40"/>
    <w:rsid w:val="5BD00C4A"/>
    <w:rsid w:val="5C9406EC"/>
    <w:rsid w:val="5EA12B9A"/>
    <w:rsid w:val="6147060A"/>
    <w:rsid w:val="61DC0836"/>
    <w:rsid w:val="62F43393"/>
    <w:rsid w:val="64CC1516"/>
    <w:rsid w:val="67565486"/>
    <w:rsid w:val="68581E15"/>
    <w:rsid w:val="68B5413B"/>
    <w:rsid w:val="68C60EA7"/>
    <w:rsid w:val="6991333C"/>
    <w:rsid w:val="69992394"/>
    <w:rsid w:val="6A403FC3"/>
    <w:rsid w:val="6A952A63"/>
    <w:rsid w:val="6CFB6932"/>
    <w:rsid w:val="6D2C467F"/>
    <w:rsid w:val="6E450CE9"/>
    <w:rsid w:val="6E8368C6"/>
    <w:rsid w:val="6EEF7A0A"/>
    <w:rsid w:val="70DB4A54"/>
    <w:rsid w:val="71336B84"/>
    <w:rsid w:val="71474E7E"/>
    <w:rsid w:val="71B146D8"/>
    <w:rsid w:val="72001E99"/>
    <w:rsid w:val="729F2EDD"/>
    <w:rsid w:val="72C70F1A"/>
    <w:rsid w:val="74795C7D"/>
    <w:rsid w:val="74821EB4"/>
    <w:rsid w:val="774A411E"/>
    <w:rsid w:val="77F67F4E"/>
    <w:rsid w:val="782D7FD1"/>
    <w:rsid w:val="783C7810"/>
    <w:rsid w:val="78C76759"/>
    <w:rsid w:val="7AD02CAD"/>
    <w:rsid w:val="7AE8376A"/>
    <w:rsid w:val="7B353A4A"/>
    <w:rsid w:val="7BFB0B28"/>
    <w:rsid w:val="7DCE78D1"/>
    <w:rsid w:val="7DDC5A44"/>
    <w:rsid w:val="7E715EDC"/>
    <w:rsid w:val="7F645C4C"/>
    <w:rsid w:val="7F9C4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 w:type="character" w:customStyle="1" w:styleId="14">
    <w:name w:val="info-expand-btn"/>
    <w:basedOn w:val="8"/>
    <w:qFormat/>
    <w:uiPriority w:val="0"/>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1</TotalTime>
  <ScaleCrop>false</ScaleCrop>
  <LinksUpToDate>false</LinksUpToDate>
  <CharactersWithSpaces>6282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2021-10-04T09:02:19Z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E98FDA9883534C5BA3790498145DF468</vt:lpwstr>
  </property>
</Properties>
</file>