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2151"/>
        <w:gridCol w:w="19"/>
        <w:gridCol w:w="930"/>
        <w:gridCol w:w="8"/>
        <w:gridCol w:w="745"/>
        <w:gridCol w:w="9"/>
        <w:gridCol w:w="9245"/>
        <w:gridCol w:w="8"/>
        <w:gridCol w:w="15"/>
        <w:gridCol w:w="1568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49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15" w:type="dxa"/>
            <w:gridSpan w:val="5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餐饮服务部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张丽</w:t>
            </w:r>
          </w:p>
        </w:tc>
        <w:tc>
          <w:tcPr>
            <w:tcW w:w="1585" w:type="dxa"/>
            <w:gridSpan w:val="3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gridSpan w:val="2"/>
            <w:vMerge w:val="continue"/>
            <w:vAlign w:val="center"/>
          </w:tcPr>
          <w:p/>
        </w:tc>
        <w:tc>
          <w:tcPr>
            <w:tcW w:w="949" w:type="dxa"/>
            <w:gridSpan w:val="2"/>
            <w:vMerge w:val="continue"/>
            <w:vAlign w:val="center"/>
          </w:tcPr>
          <w:p/>
        </w:tc>
        <w:tc>
          <w:tcPr>
            <w:tcW w:w="10015" w:type="dxa"/>
            <w:gridSpan w:val="5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张静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2021-11-26~27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gridSpan w:val="2"/>
            <w:vMerge w:val="continue"/>
            <w:vAlign w:val="center"/>
          </w:tcPr>
          <w:p/>
        </w:tc>
        <w:tc>
          <w:tcPr>
            <w:tcW w:w="949" w:type="dxa"/>
            <w:gridSpan w:val="2"/>
            <w:vMerge w:val="continue"/>
            <w:vAlign w:val="center"/>
          </w:tcPr>
          <w:p/>
        </w:tc>
        <w:tc>
          <w:tcPr>
            <w:tcW w:w="10015" w:type="dxa"/>
            <w:gridSpan w:val="5"/>
            <w:vAlign w:val="center"/>
          </w:tcPr>
          <w:p>
            <w:pPr>
              <w:rPr>
                <w:rFonts w:hint="eastAsia"/>
                <w:strike/>
                <w:dstrike w:val="0"/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trike/>
                <w:dstrike w:val="0"/>
                <w:szCs w:val="22"/>
              </w:rPr>
              <w:t>FSMS:5.3/6.2/7.1.3/7.1.4/8.2/8.3/8.4/8.5.4/8.7/8.9.1-8.9.4/9.1.1/10.1</w:t>
            </w:r>
          </w:p>
          <w:p>
            <w:pPr>
              <w:ind w:firstLine="1260" w:firstLineChars="600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</w:rPr>
              <w:t>H</w:t>
            </w:r>
            <w:r>
              <w:rPr>
                <w:rFonts w:hint="eastAsia"/>
                <w:szCs w:val="22"/>
                <w:lang w:val="en-US" w:eastAsia="zh-CN"/>
              </w:rPr>
              <w:t>ACCP</w:t>
            </w:r>
            <w:r>
              <w:rPr>
                <w:rFonts w:hint="eastAsia"/>
                <w:szCs w:val="22"/>
              </w:rPr>
              <w:t>:6.3/6.4/</w:t>
            </w:r>
            <w:r>
              <w:rPr>
                <w:rFonts w:hint="eastAsia"/>
                <w:szCs w:val="22"/>
                <w:lang w:val="en-US" w:eastAsia="zh-CN"/>
              </w:rPr>
              <w:t>6.5/</w:t>
            </w:r>
            <w:r>
              <w:rPr>
                <w:rFonts w:hint="eastAsia"/>
                <w:szCs w:val="22"/>
              </w:rPr>
              <w:t>6.6/6.7/7.6/7.7/7.8</w:t>
            </w:r>
            <w:r>
              <w:rPr>
                <w:rFonts w:hint="eastAsia"/>
                <w:szCs w:val="22"/>
                <w:lang w:eastAsia="zh-CN"/>
              </w:rPr>
              <w:t>；</w:t>
            </w:r>
          </w:p>
          <w:p>
            <w:pPr>
              <w:ind w:firstLine="1260" w:firstLineChars="600"/>
              <w:rPr>
                <w:sz w:val="24"/>
                <w:szCs w:val="24"/>
              </w:rPr>
            </w:pPr>
            <w:r>
              <w:rPr>
                <w:rFonts w:hint="eastAsia"/>
                <w:szCs w:val="22"/>
              </w:rPr>
              <w:t>GB14881: 3/4/5/6/7/8/9/10/11</w:t>
            </w:r>
            <w:r>
              <w:rPr>
                <w:rFonts w:hint="eastAsia"/>
                <w:szCs w:val="22"/>
                <w:lang w:eastAsia="zh-CN"/>
              </w:rPr>
              <w:t>；</w:t>
            </w:r>
            <w:r>
              <w:rPr>
                <w:rFonts w:hint="eastAsia"/>
                <w:szCs w:val="22"/>
              </w:rPr>
              <w:t>HACCP1.0要求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gridSpan w:val="2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49" w:type="dxa"/>
            <w:gridSpan w:val="2"/>
            <w:vMerge w:val="restart"/>
          </w:tcPr>
          <w:p>
            <w:pPr>
              <w:rPr>
                <w:strike/>
                <w:dstrike w:val="0"/>
              </w:rPr>
            </w:pPr>
            <w:r>
              <w:rPr>
                <w:rFonts w:hint="eastAsia"/>
                <w:strike/>
                <w:dstrike w:val="0"/>
              </w:rPr>
              <w:t>F5.3  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H</w:t>
            </w:r>
            <w:r>
              <w:t>5.3</w:t>
            </w:r>
            <w:r>
              <w:rPr>
                <w:rFonts w:hint="eastAsia"/>
                <w:lang w:val="en-US" w:eastAsia="zh-CN"/>
              </w:rPr>
              <w:t>.1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如：管理手册第5.3章</w:t>
            </w:r>
          </w:p>
        </w:tc>
        <w:tc>
          <w:tcPr>
            <w:tcW w:w="1585" w:type="dxa"/>
            <w:gridSpan w:val="3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49" w:type="dxa"/>
            <w:gridSpan w:val="2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主要负责</w:t>
            </w:r>
            <w:r>
              <w:rPr>
                <w:rFonts w:hint="eastAsia"/>
                <w:lang w:val="en-US" w:eastAsia="zh-CN"/>
              </w:rPr>
              <w:t>仓库管理</w:t>
            </w:r>
            <w:r>
              <w:rPr>
                <w:rFonts w:hint="eastAsia"/>
              </w:rPr>
              <w:t>、基础设施和工作环境管理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计量器具的管理、追溯、产品召回、不安全产品处置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投诉处理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危害控制计划的实施等工作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食品安全管理体系目标及其实现的策划</w:t>
            </w:r>
          </w:p>
        </w:tc>
        <w:tc>
          <w:tcPr>
            <w:tcW w:w="949" w:type="dxa"/>
            <w:gridSpan w:val="2"/>
            <w:vMerge w:val="restart"/>
          </w:tcPr>
          <w:p>
            <w:pPr>
              <w:rPr>
                <w:strike/>
                <w:dstrike w:val="0"/>
                <w:color w:val="000000"/>
                <w:szCs w:val="21"/>
              </w:rPr>
            </w:pPr>
            <w:r>
              <w:rPr>
                <w:rFonts w:hint="eastAsia"/>
                <w:strike/>
                <w:dstrike w:val="0"/>
                <w:color w:val="000000"/>
                <w:szCs w:val="21"/>
              </w:rPr>
              <w:t>F6.2 </w:t>
            </w:r>
          </w:p>
          <w:p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color w:val="000000"/>
                <w:szCs w:val="21"/>
              </w:rPr>
              <w:t>5.2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食品安全</w:t>
            </w: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rFonts w:hint="eastAsia"/>
              </w:rPr>
              <w:t>》、《分解目标》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目标、指标分解一览表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/>
        </w:tc>
        <w:tc>
          <w:tcPr>
            <w:tcW w:w="1585" w:type="dxa"/>
            <w:gridSpan w:val="3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49" w:type="dxa"/>
            <w:gridSpan w:val="2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</w:rPr>
              <w:t>总食品安全目标实现情况的评价，及其测量方法是：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87"/>
              <w:gridCol w:w="1485"/>
              <w:gridCol w:w="1231"/>
              <w:gridCol w:w="1774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食品安全</w:t>
                  </w:r>
                  <w:r>
                    <w:rPr>
                      <w:rFonts w:hint="eastAsia" w:ascii="宋体" w:hAnsi="宋体"/>
                      <w:szCs w:val="24"/>
                    </w:rPr>
                    <w:t>目标</w:t>
                  </w:r>
                </w:p>
              </w:tc>
              <w:tc>
                <w:tcPr>
                  <w:tcW w:w="1485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目标值</w:t>
                  </w:r>
                </w:p>
              </w:tc>
              <w:tc>
                <w:tcPr>
                  <w:tcW w:w="1231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考核周期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审核周期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食品安全事故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GB" w:eastAsia="zh-CN" w:bidi="ar-SA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餐饮服务部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ind w:firstLine="105" w:firstLineChars="50"/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GB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每个 CCP 的</w:t>
                  </w: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监控合格率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100%</w:t>
                  </w:r>
                </w:p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餐饮服务部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top"/>
                </w:tcPr>
                <w:p>
                  <w:pPr>
                    <w:ind w:firstLine="420" w:firstLineChars="20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Arial Unicode MS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gridSpan w:val="2"/>
            <w:vMerge w:val="restart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949" w:type="dxa"/>
            <w:gridSpan w:val="2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  <w:strike/>
                <w:dstrike w:val="0"/>
              </w:rPr>
              <w:t>F7.1.3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H6.6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手册第7.1条款、《基础设施控制程序》、《设备管理制度》、《设备操作规程》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不适用 </w:t>
            </w:r>
          </w:p>
          <w:p/>
        </w:tc>
        <w:tc>
          <w:tcPr>
            <w:tcW w:w="1585" w:type="dxa"/>
            <w:gridSpan w:val="3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49" w:type="dxa"/>
            <w:gridSpan w:val="2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  <w:color w:val="000000"/>
                <w:szCs w:val="21"/>
              </w:rPr>
              <w:t xml:space="preserve"> 基础设施包括：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办公楼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室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加工间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库房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加工</w:t>
            </w:r>
            <w:r>
              <w:rPr>
                <w:rFonts w:hint="eastAsia"/>
              </w:rPr>
              <w:t xml:space="preserve">设备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特种设备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动力设施</w:t>
            </w:r>
          </w:p>
          <w:p>
            <w:pPr>
              <w:ind w:firstLine="1680" w:firstLineChars="8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试验设备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辅助设施  </w:t>
            </w:r>
            <w:r>
              <w:rPr>
                <w:rFonts w:hint="eastAsia"/>
              </w:rPr>
              <w:sym w:font="Wingdings" w:char="00A8"/>
            </w:r>
          </w:p>
          <w:p>
            <w:r>
              <w:rPr>
                <w:rFonts w:hint="eastAsia"/>
              </w:rPr>
              <w:t>查看对设备采购的控制</w:t>
            </w:r>
          </w:p>
          <w:tbl>
            <w:tblPr>
              <w:tblStyle w:val="7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7"/>
              <w:gridCol w:w="2140"/>
              <w:gridCol w:w="2090"/>
              <w:gridCol w:w="20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2437" w:type="dxa"/>
                </w:tcPr>
                <w:p>
                  <w:r>
                    <w:rPr>
                      <w:rFonts w:hint="eastAsia"/>
                    </w:rPr>
                    <w:t>新采购的设备名称/型号</w:t>
                  </w:r>
                </w:p>
              </w:tc>
              <w:tc>
                <w:tcPr>
                  <w:tcW w:w="2140" w:type="dxa"/>
                </w:tcPr>
                <w:p>
                  <w:r>
                    <w:rPr>
                      <w:rFonts w:hint="eastAsia"/>
                    </w:rPr>
                    <w:t>设备申购单号/日期</w:t>
                  </w:r>
                </w:p>
              </w:tc>
              <w:tc>
                <w:tcPr>
                  <w:tcW w:w="2090" w:type="dxa"/>
                </w:tcPr>
                <w:p>
                  <w:r>
                    <w:rPr>
                      <w:rFonts w:hint="eastAsia"/>
                    </w:rPr>
                    <w:t>设备验收单号/日期</w:t>
                  </w:r>
                </w:p>
              </w:tc>
              <w:tc>
                <w:tcPr>
                  <w:tcW w:w="2051" w:type="dxa"/>
                </w:tcPr>
                <w:p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  <w:tc>
                <w:tcPr>
                  <w:tcW w:w="2140" w:type="dxa"/>
                </w:tcPr>
                <w:p/>
              </w:tc>
              <w:tc>
                <w:tcPr>
                  <w:tcW w:w="2090" w:type="dxa"/>
                </w:tcPr>
                <w:p/>
              </w:tc>
              <w:tc>
                <w:tcPr>
                  <w:tcW w:w="2051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/>
              </w:tc>
              <w:tc>
                <w:tcPr>
                  <w:tcW w:w="2140" w:type="dxa"/>
                </w:tcPr>
                <w:p/>
              </w:tc>
              <w:tc>
                <w:tcPr>
                  <w:tcW w:w="2090" w:type="dxa"/>
                </w:tcPr>
                <w:p/>
              </w:tc>
              <w:tc>
                <w:tcPr>
                  <w:tcW w:w="2051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/>
              </w:tc>
              <w:tc>
                <w:tcPr>
                  <w:tcW w:w="2140" w:type="dxa"/>
                </w:tcPr>
                <w:p/>
              </w:tc>
              <w:tc>
                <w:tcPr>
                  <w:tcW w:w="2090" w:type="dxa"/>
                </w:tcPr>
                <w:p/>
              </w:tc>
              <w:tc>
                <w:tcPr>
                  <w:tcW w:w="2051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/>
          <w:p>
            <w:pPr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查看对设备维保的控制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</w:p>
          <w:p>
            <w:pPr>
              <w:jc w:val="both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有《固定资产清单》共28项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67"/>
              <w:gridCol w:w="1430"/>
              <w:gridCol w:w="2034"/>
              <w:gridCol w:w="1748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《设备维保计划》</w:t>
                  </w:r>
                </w:p>
              </w:tc>
              <w:tc>
                <w:tcPr>
                  <w:tcW w:w="14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设备名称</w:t>
                  </w:r>
                </w:p>
              </w:tc>
              <w:tc>
                <w:tcPr>
                  <w:tcW w:w="20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维保日期</w:t>
                  </w:r>
                </w:p>
              </w:tc>
              <w:tc>
                <w:tcPr>
                  <w:tcW w:w="174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维保周期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430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餐具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洗涮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机</w:t>
                  </w:r>
                </w:p>
              </w:tc>
              <w:tc>
                <w:tcPr>
                  <w:tcW w:w="2034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2021.07.15~30</w:t>
                  </w:r>
                </w:p>
              </w:tc>
              <w:tc>
                <w:tcPr>
                  <w:tcW w:w="1748" w:type="dxa"/>
                </w:tcPr>
                <w:p>
                  <w:pPr>
                    <w:rPr>
                      <w:rFonts w:hint="default" w:ascii="Calibri" w:hAnsi="Calibri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每半年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清洗油污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43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餐具消毒柜</w:t>
                  </w:r>
                </w:p>
              </w:tc>
              <w:tc>
                <w:tcPr>
                  <w:tcW w:w="203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2021.07.15~30</w:t>
                  </w:r>
                </w:p>
              </w:tc>
              <w:tc>
                <w:tcPr>
                  <w:tcW w:w="1748" w:type="dxa"/>
                  <w:vAlign w:val="top"/>
                </w:tcPr>
                <w:p>
                  <w:pPr>
                    <w:rPr>
                      <w:rFonts w:hint="eastAsia"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每半年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清洗油污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43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蒸饭车</w:t>
                  </w:r>
                </w:p>
              </w:tc>
              <w:tc>
                <w:tcPr>
                  <w:tcW w:w="203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2021.07.15~30</w:t>
                  </w:r>
                </w:p>
              </w:tc>
              <w:tc>
                <w:tcPr>
                  <w:tcW w:w="1748" w:type="dxa"/>
                  <w:vAlign w:val="top"/>
                </w:tcPr>
                <w:p>
                  <w:pPr>
                    <w:rPr>
                      <w:rFonts w:hint="eastAsia"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每半年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清洗水垢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43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冷冻柜</w:t>
                  </w:r>
                </w:p>
              </w:tc>
              <w:tc>
                <w:tcPr>
                  <w:tcW w:w="203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2021.07.15~30</w:t>
                  </w:r>
                </w:p>
              </w:tc>
              <w:tc>
                <w:tcPr>
                  <w:tcW w:w="1748" w:type="dxa"/>
                  <w:vAlign w:val="top"/>
                </w:tcPr>
                <w:p>
                  <w:pPr>
                    <w:rPr>
                      <w:rFonts w:ascii="Calibri" w:hAnsi="Calibri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每半年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除霜、清洗油污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43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双头炒灶</w:t>
                  </w:r>
                </w:p>
              </w:tc>
              <w:tc>
                <w:tcPr>
                  <w:tcW w:w="203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2021.07.15~30</w:t>
                  </w:r>
                </w:p>
              </w:tc>
              <w:tc>
                <w:tcPr>
                  <w:tcW w:w="1748" w:type="dxa"/>
                  <w:vAlign w:val="top"/>
                </w:tcPr>
                <w:p>
                  <w:pPr>
                    <w:rPr>
                      <w:rFonts w:hint="eastAsia"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每半年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清洗油污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3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03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48" w:type="dxa"/>
                  <w:vAlign w:val="top"/>
                </w:tcPr>
                <w:p>
                  <w:pPr>
                    <w:rPr>
                      <w:rFonts w:hint="eastAsia"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3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3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4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867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1430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2034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1748" w:type="dxa"/>
                </w:tcPr>
                <w:p>
                  <w:pPr>
                    <w:rPr>
                      <w:rFonts w:ascii="Calibri" w:hAnsi="Calibri"/>
                      <w:highlight w:val="cya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查看对设备维修的控制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25"/>
              <w:gridCol w:w="1732"/>
              <w:gridCol w:w="1174"/>
              <w:gridCol w:w="1748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174" w:type="dxa"/>
                </w:tcPr>
                <w:p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74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验收结果</w:t>
                  </w:r>
                </w:p>
              </w:tc>
              <w:tc>
                <w:tcPr>
                  <w:tcW w:w="189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未发生故障</w:t>
                  </w:r>
                </w:p>
              </w:tc>
              <w:tc>
                <w:tcPr>
                  <w:tcW w:w="1732" w:type="dxa"/>
                </w:tcPr>
                <w:p/>
              </w:tc>
              <w:tc>
                <w:tcPr>
                  <w:tcW w:w="1174" w:type="dxa"/>
                </w:tcPr>
                <w:p/>
              </w:tc>
              <w:tc>
                <w:tcPr>
                  <w:tcW w:w="174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89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设备完好情况</w:t>
            </w:r>
          </w:p>
          <w:p>
            <w:r>
              <w:rPr>
                <w:rFonts w:hint="eastAsia"/>
              </w:rPr>
              <w:t>是否发生设备故障引起停产：</w:t>
            </w:r>
            <w:r>
              <w:rPr>
                <w:rFonts w:hint="eastAsia" w:ascii="Calibri" w:hAnsi="Calibri"/>
                <w:lang w:eastAsia="zh-CN"/>
              </w:rPr>
              <w:t>☑</w:t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 w:ascii="Calibri" w:hAnsi="Calibri"/>
              </w:rPr>
              <w:t>□</w:t>
            </w:r>
            <w:r>
              <w:rPr>
                <w:rFonts w:hint="eastAsia"/>
              </w:rPr>
              <w:t>已发生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 w:ascii="Calibri" w:hAnsi="Calibri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</w:tbl>
          <w:p/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</w:rPr>
              <w:t>特种设备控制</w:t>
            </w:r>
            <w:r>
              <w:rPr>
                <w:rFonts w:hint="eastAsia"/>
                <w:b/>
                <w:bCs/>
                <w:lang w:eastAsia="zh-CN"/>
              </w:rPr>
              <w:t>——</w:t>
            </w:r>
            <w:r>
              <w:rPr>
                <w:rFonts w:hint="eastAsia"/>
                <w:b/>
                <w:bCs/>
                <w:lang w:val="en-US" w:eastAsia="zh-CN"/>
              </w:rPr>
              <w:t>不涉及</w:t>
            </w:r>
          </w:p>
          <w:p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不适用  </w:t>
            </w:r>
          </w:p>
          <w:tbl>
            <w:tblPr>
              <w:tblStyle w:val="7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不适用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自检</w:t>
                  </w:r>
                </w:p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/>
              </w:tc>
              <w:tc>
                <w:tcPr>
                  <w:tcW w:w="180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/>
              </w:tc>
              <w:tc>
                <w:tcPr>
                  <w:tcW w:w="1808" w:type="dxa"/>
                </w:tcPr>
                <w:p>
                  <w:pPr>
                    <w:ind w:firstLine="630" w:firstLineChars="300"/>
                  </w:pPr>
                  <w:r>
                    <w:rPr>
                      <w:rFonts w:hint="eastAsia"/>
                    </w:rPr>
                    <w:t>至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</w:tbl>
          <w:p/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gridSpan w:val="2"/>
            <w:vMerge w:val="restart"/>
          </w:tcPr>
          <w:p>
            <w:r>
              <w:rPr>
                <w:rFonts w:hint="eastAsia"/>
              </w:rPr>
              <w:t>过程运行环境</w:t>
            </w:r>
          </w:p>
          <w:p/>
        </w:tc>
        <w:tc>
          <w:tcPr>
            <w:tcW w:w="949" w:type="dxa"/>
            <w:gridSpan w:val="2"/>
            <w:vMerge w:val="restart"/>
          </w:tcPr>
          <w:p>
            <w:pPr>
              <w:rPr>
                <w:rFonts w:hint="eastAsia"/>
                <w:strike/>
                <w:dstrike w:val="0"/>
              </w:rPr>
            </w:pPr>
            <w:r>
              <w:rPr>
                <w:rFonts w:hint="eastAsia"/>
                <w:strike/>
                <w:dstrike w:val="0"/>
              </w:rPr>
              <w:t xml:space="preserve">F7.1.4 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lang w:val="en-US" w:eastAsia="zh-CN"/>
              </w:rPr>
              <w:t>H6.3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 xml:space="preserve">如：《运行控制程序》、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手册第7.1.4条款</w:t>
            </w:r>
          </w:p>
        </w:tc>
        <w:tc>
          <w:tcPr>
            <w:tcW w:w="1585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49" w:type="dxa"/>
            <w:gridSpan w:val="2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组织确定、提供和保持建立、管理和维护工作环境所需的资源，以实现与FSMS要求的一致性。</w:t>
            </w:r>
          </w:p>
          <w:p>
            <w:r>
              <w:rPr>
                <w:rFonts w:hint="eastAsia"/>
              </w:rPr>
              <w:t xml:space="preserve">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3840"/>
              <w:gridCol w:w="30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/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  <w:highlight w:val="none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非歧视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安定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尊重员工，建立沟通渠道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减压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预防过度疲劳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不随意加班、良好的工作氛围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温度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湿度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照明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空气流通  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卫生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按照《前提方案》和《操作性前提方案》进行控制</w:t>
                  </w:r>
                </w:p>
              </w:tc>
            </w:tr>
          </w:tbl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585" w:type="dxa"/>
            <w:gridSpan w:val="3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gridSpan w:val="2"/>
            <w:vMerge w:val="restart"/>
          </w:tcPr>
          <w:p>
            <w:r>
              <w:rPr>
                <w:rFonts w:hint="eastAsia"/>
              </w:rPr>
              <w:t>前提方案（PRP）</w:t>
            </w:r>
          </w:p>
        </w:tc>
        <w:tc>
          <w:tcPr>
            <w:tcW w:w="949" w:type="dxa"/>
            <w:gridSpan w:val="2"/>
            <w:vMerge w:val="restart"/>
          </w:tcPr>
          <w:p>
            <w:pPr>
              <w:rPr>
                <w:strike/>
                <w:dstrike w:val="0"/>
              </w:rPr>
            </w:pPr>
            <w:r>
              <w:rPr>
                <w:rFonts w:hint="eastAsia"/>
                <w:strike/>
                <w:dstrike w:val="0"/>
              </w:rPr>
              <w:t>F8.2</w:t>
            </w:r>
          </w:p>
          <w:p>
            <w:r>
              <w:rPr>
                <w:rFonts w:hint="eastAsia"/>
              </w:rPr>
              <w:t>H</w:t>
            </w:r>
            <w:r>
              <w:t>6.3</w:t>
            </w:r>
          </w:p>
          <w:p>
            <w:r>
              <w:rPr>
                <w:rFonts w:hint="eastAsia"/>
              </w:rPr>
              <w:t>H</w:t>
            </w:r>
            <w:r>
              <w:t>6.4</w:t>
            </w:r>
          </w:p>
          <w:p>
            <w:r>
              <w:rPr>
                <w:rFonts w:hint="eastAsia"/>
              </w:rPr>
              <w:t>G</w:t>
            </w:r>
            <w:r>
              <w:t>B14881:3-10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585" w:type="dxa"/>
            <w:gridSpan w:val="3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7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49" w:type="dxa"/>
            <w:gridSpan w:val="2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前提方案的实施情况包括：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  <w:rPr>
                <w:rFonts w:hint="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位于</w:t>
            </w:r>
            <w:r>
              <w:rPr>
                <w:rFonts w:hint="eastAsia"/>
                <w:sz w:val="21"/>
                <w:szCs w:val="21"/>
                <w:u w:val="single"/>
              </w:rPr>
              <w:t>保定市竞秀区新市场街道办事处天鹅西路538号门脸</w:t>
            </w:r>
          </w:p>
          <w:p>
            <w:pPr>
              <w:ind w:firstLine="210" w:firstLineChars="100"/>
              <w:rPr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与公司地理位置图、平面图、设备台账一致。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经营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面积约有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1500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平方米。分仓库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个（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原辅料库/原辅料暂存库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）；</w:t>
            </w:r>
            <w:r>
              <w:rPr>
                <w:rFonts w:hint="eastAsia" w:ascii="宋体" w:hAnsi="宋体"/>
                <w:szCs w:val="21"/>
                <w:u w:val="single"/>
              </w:rPr>
              <w:t>设有卫生间，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与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食堂</w:t>
            </w:r>
            <w:r>
              <w:rPr>
                <w:rFonts w:hint="eastAsia" w:ascii="宋体" w:hAnsi="宋体"/>
                <w:szCs w:val="21"/>
                <w:u w:val="single"/>
              </w:rPr>
              <w:t>平面图一致。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查看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餐饮加工和服务提供</w:t>
            </w:r>
            <w:r>
              <w:rPr>
                <w:rFonts w:hint="eastAsia" w:ascii="宋体" w:hAnsi="宋体"/>
                <w:szCs w:val="21"/>
                <w:u w:val="single"/>
              </w:rPr>
              <w:t>过程管理，与流程图基本一致。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对水流、气流和人流有</w:t>
            </w:r>
            <w:r>
              <w:rPr>
                <w:rFonts w:hint="eastAsia"/>
                <w:u w:val="single"/>
                <w:lang w:val="en-US" w:eastAsia="zh-CN"/>
              </w:rPr>
              <w:t>区域划分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 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在</w:t>
            </w:r>
            <w:r>
              <w:rPr>
                <w:rFonts w:hint="eastAsia"/>
                <w:u w:val="single"/>
              </w:rPr>
              <w:t>仓库</w:t>
            </w:r>
            <w:r>
              <w:rPr>
                <w:rFonts w:hint="eastAsia"/>
                <w:u w:val="single"/>
                <w:lang w:val="en-US" w:eastAsia="zh-CN"/>
              </w:rPr>
              <w:t>门口</w:t>
            </w:r>
            <w:r>
              <w:rPr>
                <w:rFonts w:hint="eastAsia"/>
                <w:u w:val="single"/>
              </w:rPr>
              <w:t>有</w:t>
            </w:r>
            <w:r>
              <w:rPr>
                <w:rFonts w:hint="eastAsia"/>
                <w:u w:val="single"/>
                <w:lang w:val="en-US" w:eastAsia="zh-CN"/>
              </w:rPr>
              <w:t>挡鼠板</w:t>
            </w:r>
            <w:r>
              <w:rPr>
                <w:rFonts w:hint="eastAsia"/>
                <w:u w:val="single"/>
              </w:rPr>
              <w:t>，与《捕鼠图》一致；垃圾桶</w:t>
            </w:r>
            <w:r>
              <w:rPr>
                <w:rFonts w:hint="eastAsia"/>
                <w:u w:val="single"/>
                <w:lang w:val="en-US" w:eastAsia="zh-CN"/>
              </w:rPr>
              <w:t>带盖在粗加工区</w:t>
            </w:r>
            <w:r>
              <w:rPr>
                <w:rFonts w:hint="eastAsia"/>
                <w:u w:val="single"/>
              </w:rPr>
              <w:t>；无污水处理</w:t>
            </w:r>
            <w:r>
              <w:rPr>
                <w:rFonts w:hint="eastAsia"/>
                <w:u w:val="single"/>
                <w:lang w:val="en-US" w:eastAsia="zh-CN"/>
              </w:rPr>
              <w:t>设施</w:t>
            </w:r>
            <w:r>
              <w:rPr>
                <w:rFonts w:hint="eastAsia"/>
                <w:u w:val="single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经隔油池分离后</w:t>
            </w:r>
            <w:r>
              <w:rPr>
                <w:rFonts w:hint="eastAsia"/>
                <w:u w:val="single"/>
              </w:rPr>
              <w:t>直接排入城市管网；</w:t>
            </w:r>
          </w:p>
          <w:p>
            <w:pPr>
              <w:ind w:firstLine="420" w:firstLineChars="200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餐饮区域有灭蝇灯；（由组织自己实施，每周一次）；查</w:t>
            </w:r>
          </w:p>
          <w:p>
            <w:pPr>
              <w:ind w:firstLine="42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虫害消杀为外包（由甲方实施，每月一次）；有《虫害控制服务登记卡》，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 及其清洁、 保养和预防性维护的可实现性；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设备需清洁</w:t>
            </w:r>
            <w:r>
              <w:rPr>
                <w:rFonts w:hint="eastAsia"/>
                <w:u w:val="single"/>
                <w:lang w:val="en-US" w:eastAsia="zh-CN"/>
              </w:rPr>
              <w:t>但不需要消毒</w:t>
            </w:r>
            <w:r>
              <w:rPr>
                <w:rFonts w:hint="eastAsia"/>
                <w:u w:val="single"/>
              </w:rPr>
              <w:t>，有保养计划和记录，见6.3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供应商保证过程（如原料、 辅料、 化学品和包装材料） ；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见</w:t>
            </w: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营销部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</w:rPr>
              <w:t>审核记录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/>
                <w:szCs w:val="22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>有</w:t>
            </w:r>
            <w:r>
              <w:rPr>
                <w:rFonts w:hint="eastAsia"/>
                <w:u w:val="single"/>
                <w:lang w:eastAsia="zh-CN"/>
              </w:rPr>
              <w:t>《</w:t>
            </w:r>
            <w:r>
              <w:rPr>
                <w:rFonts w:hint="eastAsia"/>
                <w:u w:val="single"/>
                <w:lang w:val="en-US" w:eastAsia="zh-CN"/>
              </w:rPr>
              <w:t>食品及原材料采购进货查验记录</w:t>
            </w:r>
            <w:r>
              <w:rPr>
                <w:rFonts w:hint="eastAsia"/>
                <w:u w:val="single"/>
              </w:rPr>
              <w:t>入库单</w:t>
            </w:r>
            <w:r>
              <w:rPr>
                <w:rFonts w:hint="eastAsia"/>
                <w:u w:val="single"/>
                <w:lang w:eastAsia="zh-CN"/>
              </w:rPr>
              <w:t>》</w:t>
            </w:r>
            <w:r>
              <w:rPr>
                <w:rFonts w:hint="eastAsia"/>
                <w:u w:val="single"/>
              </w:rPr>
              <w:t>，</w:t>
            </w:r>
            <w:r>
              <w:rPr>
                <w:rFonts w:hint="eastAsia"/>
                <w:szCs w:val="22"/>
                <w:u w:val="single"/>
                <w:lang w:val="en-US" w:eastAsia="zh-CN"/>
              </w:rPr>
              <w:t>《食材原材料管理制度及食品保存管理方案》，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/>
                <w:color w:val="auto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u w:val="single"/>
                <w:lang w:val="en-US" w:eastAsia="zh-CN"/>
              </w:rPr>
              <w:t>2021-11-26在现场查看有购入的蔬菜和肉类食材，但是查看25日的“食品及原材料采购进货查验记录和进货验证记录”，相关内容相符。</w:t>
            </w:r>
          </w:p>
          <w:p>
            <w:pPr>
              <w:ind w:firstLine="210" w:firstLineChars="1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现场观察——仓库路面全部硬化，平整，材质，结构，建筑物，门窗，基本符合；基本干净整洁、分区域存放、灭火器完好，大米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u w:val="single"/>
              </w:rPr>
              <w:t>食用油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调味料</w:t>
            </w:r>
            <w:r>
              <w:rPr>
                <w:rFonts w:hint="eastAsia" w:ascii="宋体" w:hAnsi="宋体"/>
                <w:szCs w:val="21"/>
                <w:u w:val="single"/>
              </w:rPr>
              <w:t>标识清楚、隔地离墙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u w:val="single"/>
              </w:rPr>
              <w:t>未见与有毒有害物品混放的情况。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firstLine="210" w:firstLineChars="10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加工场所分为：</w:t>
            </w:r>
            <w:r>
              <w:rPr>
                <w:rFonts w:hint="eastAsia"/>
                <w:u w:val="single"/>
                <w:lang w:val="en-US" w:eastAsia="zh-CN"/>
              </w:rPr>
              <w:t>初加工区域——摘菜、洗菜、</w:t>
            </w:r>
          </w:p>
          <w:p>
            <w:pPr>
              <w:ind w:firstLine="210" w:firstLineChars="10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 xml:space="preserve">      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红案加工区——切菜、炒菜  </w:t>
            </w:r>
          </w:p>
          <w:p>
            <w:pPr>
              <w:ind w:firstLine="210" w:firstLineChars="10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 xml:space="preserve">      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白案加工区——主食加工         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无需消毒，每天工作结束进行清洁，环境基本干净整洁。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餐具、刀具均</w:t>
            </w:r>
            <w:bookmarkStart w:id="0" w:name="_GoBack"/>
            <w:bookmarkEnd w:id="0"/>
            <w:r>
              <w:rPr>
                <w:rFonts w:hint="eastAsia"/>
                <w:u w:val="single"/>
                <w:lang w:val="en-US" w:eastAsia="zh-CN"/>
              </w:rPr>
              <w:t>有红外消毒柜，30分/次，有《餐具用具消毒记录》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健康证见</w:t>
            </w:r>
            <w:r>
              <w:rPr>
                <w:rFonts w:hint="eastAsia"/>
                <w:u w:val="single"/>
                <w:lang w:eastAsia="zh-CN"/>
              </w:rPr>
              <w:t>“</w:t>
            </w:r>
            <w:r>
              <w:rPr>
                <w:rFonts w:hint="eastAsia"/>
                <w:u w:val="single"/>
                <w:lang w:val="en-US" w:eastAsia="zh-CN"/>
              </w:rPr>
              <w:t>综合办公室</w:t>
            </w:r>
            <w:r>
              <w:rPr>
                <w:rFonts w:hint="eastAsia"/>
                <w:u w:val="single"/>
                <w:lang w:eastAsia="zh-CN"/>
              </w:rPr>
              <w:t>”</w:t>
            </w:r>
            <w:r>
              <w:rPr>
                <w:rFonts w:hint="eastAsia"/>
                <w:u w:val="single"/>
              </w:rPr>
              <w:t>审核记录，员工工</w:t>
            </w:r>
            <w:r>
              <w:rPr>
                <w:rFonts w:hint="eastAsia"/>
                <w:u w:val="single"/>
                <w:lang w:val="en-US" w:eastAsia="zh-CN"/>
              </w:rPr>
              <w:t>作</w:t>
            </w:r>
            <w:r>
              <w:rPr>
                <w:rFonts w:hint="eastAsia"/>
                <w:u w:val="single"/>
              </w:rPr>
              <w:t>服</w:t>
            </w:r>
            <w:r>
              <w:rPr>
                <w:rFonts w:hint="eastAsia"/>
                <w:u w:val="single"/>
                <w:lang w:eastAsia="zh-CN"/>
              </w:rPr>
              <w:t>、</w:t>
            </w:r>
            <w:r>
              <w:rPr>
                <w:rFonts w:hint="eastAsia"/>
                <w:u w:val="single"/>
                <w:lang w:val="en-US" w:eastAsia="zh-CN"/>
              </w:rPr>
              <w:t>工作帽</w:t>
            </w:r>
            <w:r>
              <w:rPr>
                <w:rFonts w:hint="eastAsia"/>
                <w:u w:val="single"/>
              </w:rPr>
              <w:t>自洗，基本干净整洁。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每天有健康检查，有</w:t>
            </w:r>
            <w:r>
              <w:rPr>
                <w:rFonts w:hint="eastAsia"/>
                <w:u w:val="single"/>
                <w:lang w:val="en-US" w:eastAsia="zh-CN"/>
              </w:rPr>
              <w:t>《餐饮从业人员健康状况晨检表》，包括体温、发热、腹泻、外伤、感染、验证、指甲、首饰、毛发的内容。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产品信息/消费者意识；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该企业的主要是</w:t>
            </w:r>
            <w:r>
              <w:rPr>
                <w:rFonts w:hint="eastAsia"/>
                <w:u w:val="single"/>
                <w:lang w:val="en-US" w:eastAsia="zh-CN"/>
              </w:rPr>
              <w:t>街道办事处职工</w:t>
            </w:r>
            <w:r>
              <w:rPr>
                <w:rFonts w:hint="eastAsia"/>
                <w:u w:val="single"/>
              </w:rPr>
              <w:t>食堂</w:t>
            </w:r>
            <w:r>
              <w:rPr>
                <w:rFonts w:hint="eastAsia"/>
                <w:u w:val="single"/>
                <w:lang w:val="en-US" w:eastAsia="zh-CN"/>
              </w:rPr>
              <w:t>餐饮（热食类食品制售）</w:t>
            </w:r>
            <w:r>
              <w:rPr>
                <w:rFonts w:hint="eastAsia"/>
                <w:u w:val="single"/>
              </w:rPr>
              <w:t>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l) 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 w:ascii="宋体" w:hAnsi="宋体"/>
                <w:szCs w:val="21"/>
              </w:rPr>
              <w:t xml:space="preserve">  无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gridSpan w:val="2"/>
            <w:vMerge w:val="restart"/>
          </w:tcPr>
          <w:p>
            <w:r>
              <w:rPr>
                <w:rFonts w:hint="eastAsia"/>
              </w:rPr>
              <w:t>可追溯性</w:t>
            </w:r>
          </w:p>
        </w:tc>
        <w:tc>
          <w:tcPr>
            <w:tcW w:w="949" w:type="dxa"/>
            <w:gridSpan w:val="2"/>
            <w:vMerge w:val="restart"/>
          </w:tcPr>
          <w:p>
            <w:pPr>
              <w:rPr>
                <w:strike/>
                <w:dstrike w:val="0"/>
              </w:rPr>
            </w:pPr>
            <w:r>
              <w:rPr>
                <w:rFonts w:hint="eastAsia"/>
                <w:strike/>
                <w:dstrike w:val="0"/>
              </w:rPr>
              <w:t>F8.3</w:t>
            </w:r>
          </w:p>
          <w:p>
            <w:r>
              <w:rPr>
                <w:rFonts w:hint="eastAsia"/>
              </w:rPr>
              <w:t>H</w:t>
            </w:r>
            <w:r>
              <w:t>6.7.2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 xml:space="preserve">如：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手册8.3条款、</w:t>
            </w:r>
            <w:r>
              <w:rPr>
                <w:rFonts w:hint="eastAsia"/>
                <w:highlight w:val="none"/>
              </w:rPr>
              <w:t>《产品/服务提供控制程序》或《标识和可追溯性控制程序》、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前提方案》</w:t>
            </w:r>
          </w:p>
        </w:tc>
        <w:tc>
          <w:tcPr>
            <w:tcW w:w="1585" w:type="dxa"/>
            <w:gridSpan w:val="3"/>
            <w:vMerge w:val="restart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符合</w:t>
            </w:r>
            <w:r>
              <w:rPr>
                <w:rFonts w:hint="eastAsia"/>
                <w:highlight w:val="none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49" w:type="dxa"/>
            <w:gridSpan w:val="2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在建立和实施可追溯性体系时，考虑了以下内容：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接收物料、配料、中间产品批量与最终产品的关系；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材料/产品的返工；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最终产品的分销。</w:t>
            </w:r>
          </w:p>
          <w:p>
            <w:r>
              <w:rPr>
                <w:rFonts w:hint="eastAsia"/>
              </w:rPr>
              <w:t xml:space="preserve">  </w:t>
            </w:r>
          </w:p>
          <w:p>
            <w:r>
              <w:rPr>
                <w:rFonts w:hint="eastAsia"/>
              </w:rPr>
              <w:t xml:space="preserve">原材料的唯一性标识方式：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半成品的唯一性标识方式：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成品的唯一性标识方式：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组织于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</w:rPr>
              <w:t>年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  <w:lang w:val="en-US" w:eastAsia="zh-CN"/>
              </w:rPr>
              <w:t>6</w:t>
            </w:r>
            <w:r>
              <w:rPr>
                <w:rFonts w:hint="eastAsia"/>
                <w:color w:val="auto"/>
                <w:szCs w:val="21"/>
                <w:highlight w:val="none"/>
              </w:rPr>
              <w:t>月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</w:rPr>
              <w:t>日</w:t>
            </w:r>
            <w:r>
              <w:rPr>
                <w:rFonts w:hint="eastAsia"/>
              </w:rPr>
              <w:t>验证和测试可追溯性体系的有效性。</w:t>
            </w:r>
          </w:p>
          <w:p>
            <w:r>
              <w:t>追溯</w:t>
            </w:r>
            <w:r>
              <w:rPr>
                <w:rFonts w:hint="eastAsia"/>
              </w:rPr>
              <w:t>原因：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演练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质量事故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顾客投诉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市场抽查不合格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7"/>
              <w:gridCol w:w="2322"/>
              <w:gridCol w:w="1250"/>
              <w:gridCol w:w="1241"/>
              <w:gridCol w:w="1264"/>
              <w:gridCol w:w="1145"/>
              <w:gridCol w:w="9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2322" w:type="dxa"/>
                </w:tcPr>
                <w:p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250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加工</w:t>
                  </w:r>
                  <w:r>
                    <w:t>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241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出货</w:t>
                  </w:r>
                  <w:r>
                    <w:t>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264" w:type="dxa"/>
                </w:tcPr>
                <w:p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984" w:type="dxa"/>
                </w:tcPr>
                <w:p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2021-06-20</w:t>
                  </w:r>
                </w:p>
              </w:tc>
              <w:tc>
                <w:tcPr>
                  <w:tcW w:w="232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假设炸鸡排鸡肉不新鲜</w:t>
                  </w:r>
                </w:p>
              </w:tc>
              <w:tc>
                <w:tcPr>
                  <w:tcW w:w="125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2021-06-20</w:t>
                  </w:r>
                </w:p>
              </w:tc>
              <w:tc>
                <w:tcPr>
                  <w:tcW w:w="124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2021-06-20</w:t>
                  </w: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2021-06-20</w:t>
                  </w: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未见明显异常</w:t>
                  </w:r>
                </w:p>
              </w:tc>
              <w:tc>
                <w:tcPr>
                  <w:tcW w:w="98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召回未食用的菜品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/>
              </w:tc>
              <w:tc>
                <w:tcPr>
                  <w:tcW w:w="2322" w:type="dxa"/>
                </w:tcPr>
                <w:p/>
              </w:tc>
              <w:tc>
                <w:tcPr>
                  <w:tcW w:w="1250" w:type="dxa"/>
                </w:tcPr>
                <w:p/>
              </w:tc>
              <w:tc>
                <w:tcPr>
                  <w:tcW w:w="1241" w:type="dxa"/>
                </w:tcPr>
                <w:p/>
              </w:tc>
              <w:tc>
                <w:tcPr>
                  <w:tcW w:w="1264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98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/>
              </w:tc>
              <w:tc>
                <w:tcPr>
                  <w:tcW w:w="2322" w:type="dxa"/>
                </w:tcPr>
                <w:p/>
              </w:tc>
              <w:tc>
                <w:tcPr>
                  <w:tcW w:w="1250" w:type="dxa"/>
                </w:tcPr>
                <w:p/>
              </w:tc>
              <w:tc>
                <w:tcPr>
                  <w:tcW w:w="1241" w:type="dxa"/>
                </w:tcPr>
                <w:p/>
              </w:tc>
              <w:tc>
                <w:tcPr>
                  <w:tcW w:w="1264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98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可追溯性系统证据的保留期限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个月，至少包括产品的保质期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个月。</w:t>
            </w:r>
          </w:p>
          <w:p/>
          <w:p>
            <w:r>
              <w:rPr>
                <w:rFonts w:hint="eastAsia"/>
              </w:rPr>
              <w:t>产品留样（适用时）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抽查产品留样记录：</w:t>
            </w:r>
            <w:r>
              <w:rPr>
                <w:rFonts w:hint="eastAsia"/>
                <w:lang w:val="en-US" w:eastAsia="zh-CN"/>
              </w:rPr>
              <w:t>48小时；125克/种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千页豆腐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125克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2021-11-25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48小时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正常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杏菇肉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125克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2021-11-25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48小时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正常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鱼丸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125克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2021-11-25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48小时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正常</w:t>
                  </w:r>
                </w:p>
              </w:tc>
            </w:tr>
          </w:tbl>
          <w:p/>
          <w:p>
            <w:r>
              <w:t>系统的验证包括最终产品数量与成分数量的核对，作为</w:t>
            </w:r>
            <w:r>
              <w:rPr>
                <w:rFonts w:hint="eastAsia"/>
              </w:rPr>
              <w:t>追溯性</w:t>
            </w:r>
            <w:r>
              <w:t>有效性的证据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</w:tc>
        <w:tc>
          <w:tcPr>
            <w:tcW w:w="1585" w:type="dxa"/>
            <w:gridSpan w:val="3"/>
            <w:vMerge w:val="continue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49" w:type="dxa"/>
            <w:gridSpan w:val="2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在生产或服务场所对原材料的标识情况：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r>
              <w:rPr>
                <w:rFonts w:hint="eastAsia"/>
              </w:rPr>
              <w:t>在生产或服务场所对半成品的标识情况：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r>
              <w:rPr>
                <w:rFonts w:hint="eastAsia"/>
              </w:rPr>
              <w:t xml:space="preserve">在生产或服务场所对成品的标识情况：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/>
          <w:p>
            <w:r>
              <w:rPr>
                <w:rFonts w:hint="eastAsia"/>
              </w:rPr>
              <w:t>在原材料库房的标识情况：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r>
              <w:rPr>
                <w:rFonts w:hint="eastAsia"/>
              </w:rPr>
              <w:t xml:space="preserve">在成品库房的标识情况：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6" w:hRule="atLeast"/>
        </w:trPr>
        <w:tc>
          <w:tcPr>
            <w:tcW w:w="2170" w:type="dxa"/>
            <w:gridSpan w:val="2"/>
            <w:vMerge w:val="restart"/>
          </w:tcPr>
          <w:p>
            <w:r>
              <w:rPr>
                <w:rFonts w:hint="eastAsia"/>
              </w:rPr>
              <w:t>撤回/召回</w:t>
            </w:r>
          </w:p>
          <w:p/>
        </w:tc>
        <w:tc>
          <w:tcPr>
            <w:tcW w:w="930" w:type="dxa"/>
            <w:vMerge w:val="restart"/>
          </w:tcPr>
          <w:p>
            <w:pPr>
              <w:rPr>
                <w:strike/>
                <w:dstrike w:val="0"/>
              </w:rPr>
            </w:pPr>
            <w:r>
              <w:rPr>
                <w:rFonts w:hint="eastAsia"/>
                <w:strike/>
                <w:dstrike w:val="0"/>
              </w:rPr>
              <w:t>F</w:t>
            </w:r>
            <w:r>
              <w:rPr>
                <w:strike/>
                <w:dstrike w:val="0"/>
              </w:rPr>
              <w:t>8.4</w:t>
            </w:r>
          </w:p>
          <w:p>
            <w:r>
              <w:rPr>
                <w:rFonts w:hint="eastAsia"/>
              </w:rPr>
              <w:t>H6.7.2</w:t>
            </w:r>
          </w:p>
          <w:p>
            <w:r>
              <w:rPr>
                <w:rFonts w:hint="eastAsia"/>
              </w:rPr>
              <w:t>G</w:t>
            </w:r>
            <w:r>
              <w:t>B14881:11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产品撤回控制程序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70" w:type="dxa"/>
            <w:gridSpan w:val="2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280" w:hRule="atLeast"/>
        </w:trPr>
        <w:tc>
          <w:tcPr>
            <w:tcW w:w="2170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8" w:type="dxa"/>
            <w:gridSpan w:val="3"/>
          </w:tcPr>
          <w:p>
            <w:r>
              <w:rPr>
                <w:rFonts w:hint="eastAsia"/>
              </w:rPr>
              <w:t>有权决定撤回/召回人员：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食品安全小组组长姜婷婷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；  </w:t>
            </w:r>
          </w:p>
          <w:p>
            <w:r>
              <w:rPr>
                <w:rFonts w:hint="eastAsia"/>
              </w:rPr>
              <w:t>确保及时撤回/召回被确定为潜在不安全的大量最终产品。</w:t>
            </w:r>
          </w:p>
          <w:p>
            <w:r>
              <w:rPr>
                <w:rFonts w:hint="eastAsia"/>
              </w:rPr>
              <w:t>组织的撤回/召回流程，包括：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193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/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餐饮服务部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餐饮服务部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餐饮服务部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处置库存中受影响的批次/批号产品</w:t>
                  </w:r>
                </w:p>
              </w:tc>
              <w:tc>
                <w:tcPr>
                  <w:tcW w:w="2193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餐饮服务部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食品安全小组组长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</w:tbl>
          <w:p/>
          <w:p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  <w:p>
            <w:r>
              <w:rPr>
                <w:rFonts w:hint="eastAsia"/>
              </w:rPr>
              <w:t>本部门是否发生产品的撤回或召回方面的处置：</w:t>
            </w:r>
          </w:p>
          <w:p/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5"/>
              <w:gridCol w:w="1290"/>
              <w:gridCol w:w="1968"/>
              <w:gridCol w:w="1892"/>
              <w:gridCol w:w="1285"/>
              <w:gridCol w:w="14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7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撤回日期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96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撤回原因</w:t>
                  </w:r>
                </w:p>
              </w:tc>
              <w:tc>
                <w:tcPr>
                  <w:tcW w:w="189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撤回范围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5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2021-08-19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实际撤回 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模拟撤回</w:t>
                  </w:r>
                </w:p>
              </w:tc>
              <w:tc>
                <w:tcPr>
                  <w:tcW w:w="1968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下午发现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有人食物中毒</w:t>
                  </w:r>
                </w:p>
              </w:tc>
              <w:tc>
                <w:tcPr>
                  <w:tcW w:w="1892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售出的和未售出的菜肴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已全部撤回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5" w:type="dxa"/>
                  <w:shd w:val="clear" w:color="auto" w:fill="auto"/>
                </w:tcPr>
                <w:p/>
              </w:tc>
              <w:tc>
                <w:tcPr>
                  <w:tcW w:w="129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实际撤回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1968" w:type="dxa"/>
                  <w:shd w:val="clear" w:color="auto" w:fill="auto"/>
                </w:tcPr>
                <w:p/>
              </w:tc>
              <w:tc>
                <w:tcPr>
                  <w:tcW w:w="1892" w:type="dxa"/>
                  <w:shd w:val="clear" w:color="auto" w:fill="auto"/>
                </w:tcPr>
                <w:p/>
              </w:tc>
              <w:tc>
                <w:tcPr>
                  <w:tcW w:w="1285" w:type="dxa"/>
                  <w:shd w:val="clear" w:color="auto" w:fill="auto"/>
                </w:tcPr>
                <w:p/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5" w:type="dxa"/>
                  <w:shd w:val="clear" w:color="auto" w:fill="auto"/>
                </w:tcPr>
                <w:p/>
              </w:tc>
              <w:tc>
                <w:tcPr>
                  <w:tcW w:w="129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实际撤回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1968" w:type="dxa"/>
                  <w:shd w:val="clear" w:color="auto" w:fill="auto"/>
                </w:tcPr>
                <w:p/>
              </w:tc>
              <w:tc>
                <w:tcPr>
                  <w:tcW w:w="1892" w:type="dxa"/>
                  <w:shd w:val="clear" w:color="auto" w:fill="auto"/>
                </w:tcPr>
                <w:p/>
              </w:tc>
              <w:tc>
                <w:tcPr>
                  <w:tcW w:w="1285" w:type="dxa"/>
                  <w:shd w:val="clear" w:color="auto" w:fill="auto"/>
                </w:tcPr>
                <w:p/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5" w:type="dxa"/>
                  <w:shd w:val="clear" w:color="auto" w:fill="auto"/>
                </w:tcPr>
                <w:p/>
              </w:tc>
              <w:tc>
                <w:tcPr>
                  <w:tcW w:w="129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实际撤回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1968" w:type="dxa"/>
                  <w:shd w:val="clear" w:color="auto" w:fill="auto"/>
                </w:tcPr>
                <w:p/>
              </w:tc>
              <w:tc>
                <w:tcPr>
                  <w:tcW w:w="1892" w:type="dxa"/>
                  <w:shd w:val="clear" w:color="auto" w:fill="auto"/>
                </w:tcPr>
                <w:p/>
              </w:tc>
              <w:tc>
                <w:tcPr>
                  <w:tcW w:w="1285" w:type="dxa"/>
                  <w:shd w:val="clear" w:color="auto" w:fill="auto"/>
                </w:tcPr>
                <w:p/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</w:tbl>
          <w:p/>
          <w:p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能够确保完整、 及时地撤回已被识别为潜在不安全的批次/批号产品   </w:t>
            </w:r>
          </w:p>
          <w:p>
            <w:pPr>
              <w:ind w:firstLine="630" w:firstLineChars="3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 及时地撤回已被识别为潜在不安全的批次/批号产品，说明：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/>
          <w:p>
            <w:r>
              <w:rPr>
                <w:rFonts w:hint="eastAsia"/>
              </w:rPr>
              <w:t>见《</w:t>
            </w:r>
            <w:r>
              <w:rPr>
                <w:rFonts w:hint="eastAsia"/>
                <w:lang w:val="en-US" w:eastAsia="zh-CN"/>
              </w:rPr>
              <w:t>不安全产品召回演练记录</w:t>
            </w:r>
            <w:r>
              <w:rPr>
                <w:rFonts w:hint="eastAsia"/>
              </w:rPr>
              <w:t>》， 并向最高管理者报告， 作为管理评审的输入。</w:t>
            </w:r>
          </w:p>
        </w:tc>
        <w:tc>
          <w:tcPr>
            <w:tcW w:w="157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2" w:type="dxa"/>
          <w:trHeight w:val="486" w:hRule="atLeast"/>
        </w:trPr>
        <w:tc>
          <w:tcPr>
            <w:tcW w:w="2170" w:type="dxa"/>
            <w:gridSpan w:val="2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  <w:r>
              <w:rPr>
                <w:rFonts w:hint="eastAsia"/>
              </w:rPr>
              <w:br w:type="textWrapping"/>
            </w:r>
          </w:p>
        </w:tc>
        <w:tc>
          <w:tcPr>
            <w:tcW w:w="938" w:type="dxa"/>
            <w:gridSpan w:val="2"/>
            <w:vMerge w:val="restart"/>
            <w:shd w:val="clear" w:color="auto" w:fill="auto"/>
          </w:tcPr>
          <w:p>
            <w:pPr>
              <w:rPr>
                <w:strike/>
                <w:dstrike w:val="0"/>
              </w:rPr>
            </w:pPr>
            <w:r>
              <w:rPr>
                <w:rFonts w:hint="eastAsia"/>
                <w:strike/>
                <w:dstrike w:val="0"/>
              </w:rPr>
              <w:t>F8.5.4</w:t>
            </w:r>
          </w:p>
          <w:p>
            <w:r>
              <w:rPr>
                <w:rFonts w:hint="eastAsia"/>
              </w:rPr>
              <w:t>H</w:t>
            </w:r>
            <w:r>
              <w:t>7.4</w:t>
            </w:r>
          </w:p>
          <w:p>
            <w:r>
              <w:rPr>
                <w:rFonts w:hint="eastAsia"/>
              </w:rPr>
              <w:t>H</w:t>
            </w:r>
            <w:r>
              <w:t>7.5</w:t>
            </w:r>
          </w:p>
          <w:p>
            <w:r>
              <w:rPr>
                <w:rFonts w:hint="eastAsia"/>
              </w:rPr>
              <w:t>H</w:t>
            </w:r>
            <w:r>
              <w:t>7.6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危害控制计划</w:t>
            </w:r>
            <w:r>
              <w:rPr>
                <w:rFonts w:hint="eastAsia"/>
              </w:rPr>
              <w:t>》</w:t>
            </w:r>
          </w:p>
        </w:tc>
        <w:tc>
          <w:tcPr>
            <w:tcW w:w="1591" w:type="dxa"/>
            <w:gridSpan w:val="3"/>
            <w:vMerge w:val="restart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2" w:type="dxa"/>
          <w:trHeight w:val="487" w:hRule="atLeast"/>
        </w:trPr>
        <w:tc>
          <w:tcPr>
            <w:tcW w:w="2170" w:type="dxa"/>
            <w:gridSpan w:val="2"/>
            <w:vMerge w:val="continue"/>
            <w:shd w:val="clear" w:color="auto" w:fill="auto"/>
          </w:tcPr>
          <w:p/>
        </w:tc>
        <w:tc>
          <w:tcPr>
            <w:tcW w:w="938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pPr>
              <w:spacing w:before="240" w:after="12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OPRP</w:t>
            </w:r>
            <w:r>
              <w:rPr>
                <w:rFonts w:hint="eastAsia" w:ascii="宋体" w:hAnsi="宋体" w:cs="宋体"/>
                <w:lang w:val="en-US" w:eastAsia="zh-CN"/>
              </w:rPr>
              <w:t>计划</w:t>
            </w:r>
          </w:p>
          <w:tbl>
            <w:tblPr>
              <w:tblStyle w:val="6"/>
              <w:tblW w:w="8984" w:type="dxa"/>
              <w:tblInd w:w="7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719"/>
              <w:gridCol w:w="1323"/>
              <w:gridCol w:w="1610"/>
              <w:gridCol w:w="1490"/>
              <w:gridCol w:w="1576"/>
              <w:gridCol w:w="746"/>
              <w:gridCol w:w="14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736" w:hRule="atLeast"/>
                <w:tblHeader/>
              </w:trPr>
              <w:tc>
                <w:tcPr>
                  <w:tcW w:w="719" w:type="dxa"/>
                  <w:shd w:val="clear" w:color="auto" w:fill="auto"/>
                </w:tcPr>
                <w:p>
                  <w:pPr>
                    <w:pStyle w:val="14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序号</w:t>
                  </w:r>
                </w:p>
              </w:tc>
              <w:tc>
                <w:tcPr>
                  <w:tcW w:w="1323" w:type="dxa"/>
                  <w:shd w:val="clear" w:color="auto" w:fill="auto"/>
                </w:tcPr>
                <w:p>
                  <w:pPr>
                    <w:pStyle w:val="14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 过程步骤</w:t>
                  </w:r>
                </w:p>
              </w:tc>
              <w:tc>
                <w:tcPr>
                  <w:tcW w:w="1610" w:type="dxa"/>
                  <w:shd w:val="clear" w:color="auto" w:fill="auto"/>
                </w:tcPr>
                <w:p>
                  <w:pPr>
                    <w:pStyle w:val="14"/>
                    <w:rPr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食品安全</w:t>
                  </w:r>
                  <w:r>
                    <w:rPr>
                      <w:rFonts w:hint="eastAsia"/>
                      <w:lang w:eastAsia="zh-CN"/>
                    </w:rPr>
                    <w:t>危害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>
                  <w:pPr>
                    <w:pStyle w:val="14"/>
                    <w:rPr>
                      <w:lang w:val="fr-FR" w:eastAsia="zh-CN"/>
                    </w:rPr>
                  </w:pPr>
                  <w:r>
                    <w:rPr>
                      <w:rFonts w:hint="eastAsia"/>
                      <w:lang w:val="fr-FR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操作</w:t>
                  </w:r>
                  <w:r>
                    <w:rPr>
                      <w:rFonts w:hint="eastAsia"/>
                      <w:lang w:val="fr-FR" w:eastAsia="zh-CN"/>
                    </w:rPr>
                    <w:t>限值</w:t>
                  </w:r>
                </w:p>
              </w:tc>
              <w:tc>
                <w:tcPr>
                  <w:tcW w:w="1576" w:type="dxa"/>
                  <w:shd w:val="clear" w:color="auto" w:fill="auto"/>
                </w:tcPr>
                <w:p>
                  <w:pPr>
                    <w:pStyle w:val="14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监控程序</w:t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>
                  <w:pPr>
                    <w:pStyle w:val="14"/>
                    <w:jc w:val="both"/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责任人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>
                  <w:pPr>
                    <w:pStyle w:val="14"/>
                    <w:jc w:val="both"/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相关记录名称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923" w:hRule="atLeast"/>
              </w:trPr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  <w:highlight w:val="none"/>
                    </w:rPr>
                    <w:t>OPRP</w:t>
                  </w:r>
                  <w:r>
                    <w:rPr>
                      <w:rFonts w:ascii="宋体" w:hAnsi="宋体" w:cs="宋体"/>
                      <w:b/>
                      <w:kern w:val="0"/>
                      <w:sz w:val="18"/>
                      <w:szCs w:val="18"/>
                      <w:highlight w:val="none"/>
                    </w:rPr>
                    <w:t>1</w:t>
                  </w:r>
                </w:p>
              </w:tc>
              <w:tc>
                <w:tcPr>
                  <w:tcW w:w="13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adjustRightInd w:val="0"/>
                    <w:spacing w:line="312" w:lineRule="atLeast"/>
                    <w:textAlignment w:val="baseline"/>
                    <w:rPr>
                      <w:b/>
                      <w:kern w:val="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cs="宋体"/>
                      <w:b/>
                      <w:kern w:val="0"/>
                      <w:sz w:val="18"/>
                      <w:szCs w:val="18"/>
                      <w:highlight w:val="none"/>
                    </w:rPr>
                    <w:t>原辅料验收</w:t>
                  </w: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rFonts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kern w:val="0"/>
                      <w:sz w:val="18"/>
                      <w:szCs w:val="18"/>
                    </w:rPr>
                    <w:t>1.生物性危害：致病菌；2.化学性危害：兽、农药残留、抗生素、重金属污染等。</w:t>
                  </w:r>
                  <w:r>
                    <w:rPr>
                      <w:rFonts w:hint="eastAsia"/>
                      <w:sz w:val="18"/>
                      <w:szCs w:val="18"/>
                      <w:lang w:val="fr-FR"/>
                    </w:rPr>
                    <w:tab/>
                  </w:r>
                </w:p>
              </w:tc>
              <w:tc>
                <w:tcPr>
                  <w:tcW w:w="14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b/>
                      <w:bCs/>
                      <w:sz w:val="18"/>
                      <w:szCs w:val="18"/>
                      <w:lang w:val="fr-FR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合格证明及感官</w:t>
                  </w:r>
                </w:p>
              </w:tc>
              <w:tc>
                <w:tcPr>
                  <w:tcW w:w="15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numPr>
                      <w:ilvl w:val="0"/>
                      <w:numId w:val="2"/>
                    </w:numPr>
                    <w:jc w:val="left"/>
                    <w:rPr>
                      <w:rFonts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kern w:val="0"/>
                      <w:sz w:val="18"/>
                      <w:szCs w:val="18"/>
                      <w:lang w:val="en-US" w:eastAsia="zh-CN"/>
                    </w:rPr>
                    <w:t>专人</w:t>
                  </w:r>
                  <w:r>
                    <w:rPr>
                      <w:rFonts w:hint="eastAsia" w:cs="宋体"/>
                      <w:kern w:val="0"/>
                      <w:sz w:val="18"/>
                      <w:szCs w:val="18"/>
                    </w:rPr>
                    <w:t>每批感官查看，查验证明；</w:t>
                  </w:r>
                </w:p>
                <w:p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2.定期核查索证情况，每年索取外检报告</w:t>
                  </w:r>
                </w:p>
              </w:tc>
              <w:tc>
                <w:tcPr>
                  <w:tcW w:w="7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rFonts w:hint="eastAsia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专人</w:t>
                  </w:r>
                </w:p>
              </w:tc>
              <w:tc>
                <w:tcPr>
                  <w:tcW w:w="14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sz w:val="18"/>
                      <w:szCs w:val="18"/>
                      <w:lang w:val="fr-FR"/>
                    </w:rPr>
                  </w:pPr>
                  <w:r>
                    <w:rPr>
                      <w:rFonts w:hint="eastAsia" w:cs="宋体"/>
                      <w:kern w:val="0"/>
                      <w:sz w:val="18"/>
                      <w:szCs w:val="18"/>
                    </w:rPr>
                    <w:t>验收记录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822" w:hRule="atLeast"/>
              </w:trPr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kern w:val="0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  <w:highlight w:val="none"/>
                    </w:rPr>
                    <w:t>O</w:t>
                  </w:r>
                  <w:r>
                    <w:rPr>
                      <w:rFonts w:ascii="宋体" w:hAnsi="宋体" w:cs="宋体"/>
                      <w:b/>
                      <w:kern w:val="0"/>
                      <w:sz w:val="18"/>
                      <w:szCs w:val="18"/>
                      <w:highlight w:val="none"/>
                    </w:rPr>
                    <w:t>PRP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  <w:highlight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3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adjustRightInd w:val="0"/>
                    <w:spacing w:line="220" w:lineRule="exact"/>
                    <w:textAlignment w:val="baseline"/>
                    <w:rPr>
                      <w:rFonts w:hint="eastAsia" w:ascii="仿宋_GB2312" w:cs="宋体"/>
                      <w:b/>
                      <w:kern w:val="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仿宋_GB2312" w:cs="宋体"/>
                      <w:b/>
                      <w:kern w:val="0"/>
                      <w:sz w:val="18"/>
                      <w:szCs w:val="18"/>
                      <w:highlight w:val="none"/>
                    </w:rPr>
                    <w:t>餐具消毒</w:t>
                  </w: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微生物、致病菌；洗涤剂残留</w:t>
                  </w:r>
                </w:p>
              </w:tc>
              <w:tc>
                <w:tcPr>
                  <w:tcW w:w="14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after="0" w:line="240" w:lineRule="exac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热风循环消毒</w:t>
                  </w:r>
                </w:p>
                <w:p>
                  <w:pPr>
                    <w:spacing w:line="280" w:lineRule="exact"/>
                    <w:jc w:val="left"/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125℃/30min</w:t>
                  </w:r>
                </w:p>
              </w:tc>
              <w:tc>
                <w:tcPr>
                  <w:tcW w:w="15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fr-FR"/>
                    </w:rPr>
                    <w:t>记录每批消毒记录</w:t>
                  </w:r>
                </w:p>
              </w:tc>
              <w:tc>
                <w:tcPr>
                  <w:tcW w:w="7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rFonts w:hint="eastAsia" w:eastAsia="宋体"/>
                      <w:bCs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  <w:lang w:val="en-US" w:eastAsia="zh-CN"/>
                    </w:rPr>
                    <w:t>专人</w:t>
                  </w:r>
                </w:p>
              </w:tc>
              <w:tc>
                <w:tcPr>
                  <w:tcW w:w="14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rFonts w:hint="default" w:eastAsia="宋体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  <w:lang w:val="en-US" w:eastAsia="zh-CN"/>
                    </w:rPr>
                    <w:t>餐具消毒记录</w:t>
                  </w:r>
                </w:p>
                <w:p>
                  <w:pPr>
                    <w:jc w:val="left"/>
                    <w:rPr>
                      <w:rFonts w:hint="eastAsia"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检测报告</w:t>
                  </w:r>
                </w:p>
              </w:tc>
            </w:tr>
          </w:tbl>
          <w:tbl>
            <w:tblPr>
              <w:tblStyle w:val="6"/>
              <w:tblpPr w:leftFromText="180" w:rightFromText="180" w:vertAnchor="text" w:horzAnchor="page" w:tblpX="153" w:tblpY="404"/>
              <w:tblOverlap w:val="never"/>
              <w:tblW w:w="898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711"/>
              <w:gridCol w:w="987"/>
              <w:gridCol w:w="1546"/>
              <w:gridCol w:w="1310"/>
              <w:gridCol w:w="1678"/>
              <w:gridCol w:w="1222"/>
              <w:gridCol w:w="15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344" w:hRule="atLeast"/>
                <w:tblHeader/>
              </w:trPr>
              <w:tc>
                <w:tcPr>
                  <w:tcW w:w="711" w:type="dxa"/>
                  <w:shd w:val="clear" w:color="auto" w:fill="auto"/>
                </w:tcPr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eastAsia="zh-CN"/>
                    </w:rPr>
                    <w:t xml:space="preserve"> </w:t>
                  </w:r>
                </w:p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eastAsia="zh-CN"/>
                    </w:rPr>
                    <w:t>序号</w:t>
                  </w:r>
                </w:p>
              </w:tc>
              <w:tc>
                <w:tcPr>
                  <w:tcW w:w="987" w:type="dxa"/>
                  <w:shd w:val="clear" w:color="auto" w:fill="auto"/>
                </w:tcPr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eastAsia="zh-CN"/>
                    </w:rPr>
                    <w:t xml:space="preserve"> </w:t>
                  </w:r>
                </w:p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eastAsia="zh-CN"/>
                    </w:rPr>
                    <w:t>过程步骤</w:t>
                  </w:r>
                </w:p>
              </w:tc>
              <w:tc>
                <w:tcPr>
                  <w:tcW w:w="1546" w:type="dxa"/>
                  <w:shd w:val="clear" w:color="auto" w:fill="auto"/>
                </w:tcPr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eastAsia="zh-CN"/>
                    </w:rPr>
                    <w:t xml:space="preserve"> </w:t>
                  </w:r>
                </w:p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食品安全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eastAsia="zh-CN"/>
                    </w:rPr>
                    <w:t>危害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val="fr-FR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fr-FR" w:eastAsia="zh-CN"/>
                    </w:rPr>
                    <w:t xml:space="preserve"> </w:t>
                  </w:r>
                </w:p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val="fr-FR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fr-FR" w:eastAsia="zh-CN"/>
                    </w:rPr>
                    <w:t>关键限值</w:t>
                  </w:r>
                </w:p>
              </w:tc>
              <w:tc>
                <w:tcPr>
                  <w:tcW w:w="1678" w:type="dxa"/>
                  <w:shd w:val="clear" w:color="auto" w:fill="auto"/>
                </w:tcPr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eastAsia="zh-CN"/>
                    </w:rPr>
                    <w:t xml:space="preserve"> </w:t>
                  </w:r>
                </w:p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val="fr-FR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eastAsia="zh-CN"/>
                    </w:rPr>
                    <w:t>监控程序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责任人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>
                  <w:pPr>
                    <w:pStyle w:val="14"/>
                    <w:jc w:val="both"/>
                    <w:rPr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相关记录名称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931" w:hRule="atLeast"/>
              </w:trPr>
              <w:tc>
                <w:tcPr>
                  <w:tcW w:w="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CCP1</w:t>
                  </w:r>
                </w:p>
              </w:tc>
              <w:tc>
                <w:tcPr>
                  <w:tcW w:w="9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sz w:val="21"/>
                      <w:szCs w:val="21"/>
                      <w:highlight w:val="none"/>
                      <w:lang w:val="fr-FR"/>
                    </w:rPr>
                  </w:pPr>
                  <w:r>
                    <w:rPr>
                      <w:rFonts w:hint="eastAsia" w:cs="宋体"/>
                      <w:kern w:val="0"/>
                      <w:sz w:val="21"/>
                      <w:szCs w:val="21"/>
                      <w:highlight w:val="none"/>
                    </w:rPr>
                    <w:t>烹饪</w:t>
                  </w:r>
                </w:p>
              </w:tc>
              <w:tc>
                <w:tcPr>
                  <w:tcW w:w="15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adjustRightInd w:val="0"/>
                    <w:spacing w:line="312" w:lineRule="atLeast"/>
                    <w:textAlignment w:val="baseline"/>
                    <w:rPr>
                      <w:kern w:val="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cs="宋体"/>
                      <w:kern w:val="0"/>
                      <w:sz w:val="21"/>
                      <w:szCs w:val="21"/>
                      <w:highlight w:val="none"/>
                    </w:rPr>
                    <w:t>生物性危害：</w:t>
                  </w:r>
                </w:p>
                <w:p>
                  <w:pPr>
                    <w:jc w:val="left"/>
                    <w:rPr>
                      <w:sz w:val="21"/>
                      <w:szCs w:val="21"/>
                      <w:highlight w:val="none"/>
                      <w:lang w:val="fr-FR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fr-FR"/>
                    </w:rPr>
                    <w:t>微生物污染、致病菌超标</w:t>
                  </w:r>
                </w:p>
              </w:tc>
              <w:tc>
                <w:tcPr>
                  <w:tcW w:w="1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rFonts w:hint="eastAsia" w:eastAsia="宋体"/>
                      <w:sz w:val="21"/>
                      <w:szCs w:val="21"/>
                      <w:highlight w:val="none"/>
                      <w:lang w:val="fr-FR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highlight w:val="none"/>
                    </w:rPr>
                    <w:t>中心温度≥</w:t>
                  </w:r>
                  <w:r>
                    <w:rPr>
                      <w:rFonts w:ascii="宋体" w:hAnsi="宋体" w:cs="宋体"/>
                      <w:kern w:val="0"/>
                      <w:sz w:val="21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highlight w:val="none"/>
                    </w:rPr>
                    <w:t>5</w:t>
                  </w:r>
                  <w:r>
                    <w:rPr>
                      <w:rFonts w:hint="eastAsia"/>
                      <w:kern w:val="0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℃</w:t>
                  </w:r>
                </w:p>
              </w:tc>
              <w:tc>
                <w:tcPr>
                  <w:tcW w:w="16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cs="宋体"/>
                      <w:kern w:val="0"/>
                      <w:sz w:val="21"/>
                      <w:szCs w:val="21"/>
                      <w:highlight w:val="none"/>
                    </w:rPr>
                    <w:t>在出锅时测量；</w:t>
                  </w: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rFonts w:hint="eastAsia" w:eastAsia="宋体"/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专人</w:t>
                  </w: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rFonts w:hint="eastAsia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食品中</w:t>
                  </w:r>
                </w:p>
                <w:p>
                  <w:pPr>
                    <w:jc w:val="left"/>
                    <w:rPr>
                      <w:rFonts w:hint="eastAsia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心温度查验记</w:t>
                  </w:r>
                </w:p>
                <w:p>
                  <w:pPr>
                    <w:jc w:val="left"/>
                    <w:rPr>
                      <w:rFonts w:hint="eastAsia" w:eastAsia="宋体"/>
                      <w:color w:val="0000FF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386" w:hRule="atLeast"/>
              </w:trPr>
              <w:tc>
                <w:tcPr>
                  <w:tcW w:w="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CCP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9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fr-FR" w:eastAsia="zh-CN" w:bidi="ar-SA"/>
                    </w:rPr>
                  </w:pPr>
                  <w:r>
                    <w:rPr>
                      <w:rFonts w:hint="eastAsia" w:cs="宋体"/>
                      <w:kern w:val="0"/>
                      <w:sz w:val="21"/>
                      <w:szCs w:val="21"/>
                      <w:highlight w:val="none"/>
                    </w:rPr>
                    <w:t>配料</w:t>
                  </w:r>
                </w:p>
              </w:tc>
              <w:tc>
                <w:tcPr>
                  <w:tcW w:w="15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adjustRightInd w:val="0"/>
                    <w:spacing w:line="312" w:lineRule="atLeast"/>
                    <w:textAlignment w:val="baseline"/>
                    <w:rPr>
                      <w:kern w:val="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cs="宋体"/>
                      <w:kern w:val="0"/>
                      <w:sz w:val="21"/>
                      <w:szCs w:val="21"/>
                      <w:highlight w:val="none"/>
                    </w:rPr>
                    <w:t>化学性危害：</w:t>
                  </w:r>
                </w:p>
                <w:p>
                  <w:pPr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fr-FR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fr-FR"/>
                    </w:rPr>
                    <w:t>添加剂超标</w:t>
                  </w:r>
                </w:p>
              </w:tc>
              <w:tc>
                <w:tcPr>
                  <w:tcW w:w="1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fr-FR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复核膨松剂（双效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fr-FR"/>
                    </w:rPr>
                    <w:t>泡打粉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）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fr-FR"/>
                    </w:rPr>
                    <w:t>≤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17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fr-FR"/>
                    </w:rPr>
                    <w:t>g/kg</w:t>
                  </w:r>
                </w:p>
              </w:tc>
              <w:tc>
                <w:tcPr>
                  <w:tcW w:w="16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kern w:val="0"/>
                      <w:sz w:val="21"/>
                      <w:szCs w:val="21"/>
                      <w:highlight w:val="none"/>
                    </w:rPr>
                    <w:t>每次添加时计量添加剂的量；</w:t>
                  </w: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面点师</w:t>
                  </w: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宋体" w:cs="Times New Roman"/>
                      <w:color w:val="0000FF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配料记录表</w:t>
                  </w:r>
                </w:p>
              </w:tc>
            </w:tr>
          </w:tbl>
          <w:p>
            <w:pPr>
              <w:spacing w:before="240" w:after="120"/>
              <w:rPr>
                <w:lang w:val="en-GB"/>
              </w:rPr>
            </w:pPr>
            <w:r>
              <w:rPr>
                <w:rFonts w:hint="eastAsia" w:ascii="宋体" w:hAnsi="宋体" w:cs="宋体"/>
                <w:lang w:val="en-GB"/>
              </w:rPr>
              <w:t>HACCP计划</w:t>
            </w:r>
          </w:p>
          <w:p/>
          <w:p/>
        </w:tc>
        <w:tc>
          <w:tcPr>
            <w:tcW w:w="1591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2" w:type="dxa"/>
          <w:trHeight w:val="3986" w:hRule="atLeast"/>
        </w:trPr>
        <w:tc>
          <w:tcPr>
            <w:tcW w:w="2170" w:type="dxa"/>
            <w:gridSpan w:val="2"/>
            <w:vMerge w:val="continue"/>
            <w:shd w:val="clear" w:color="auto" w:fill="auto"/>
          </w:tcPr>
          <w:p/>
        </w:tc>
        <w:tc>
          <w:tcPr>
            <w:tcW w:w="938" w:type="dxa"/>
            <w:gridSpan w:val="2"/>
            <w:shd w:val="clear" w:color="auto" w:fill="auto"/>
          </w:tcPr>
          <w:p>
            <w:pPr>
              <w:rPr>
                <w:strike/>
                <w:dstrike w:val="0"/>
              </w:rPr>
            </w:pPr>
            <w:r>
              <w:rPr>
                <w:rFonts w:hint="eastAsia"/>
                <w:strike/>
                <w:dstrike w:val="0"/>
                <w:lang w:val="en-US" w:eastAsia="zh-CN"/>
              </w:rPr>
              <w:t>F</w:t>
            </w:r>
            <w:r>
              <w:rPr>
                <w:rFonts w:hint="eastAsia"/>
                <w:strike/>
                <w:dstrike w:val="0"/>
              </w:rPr>
              <w:t>8.5.4.5实施危害控制计划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H6.4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现场查看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OPRP的实施情况：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4"/>
              <w:gridCol w:w="1378"/>
              <w:gridCol w:w="1600"/>
              <w:gridCol w:w="1490"/>
              <w:gridCol w:w="2302"/>
              <w:gridCol w:w="13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7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地点</w:t>
                  </w:r>
                </w:p>
              </w:tc>
              <w:tc>
                <w:tcPr>
                  <w:tcW w:w="160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操作限值</w:t>
                  </w:r>
                </w:p>
              </w:tc>
              <w:tc>
                <w:tcPr>
                  <w:tcW w:w="14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记录情况</w:t>
                  </w:r>
                </w:p>
              </w:tc>
              <w:tc>
                <w:tcPr>
                  <w:tcW w:w="230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现场显示</w:t>
                  </w: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OPRP1</w:t>
                  </w:r>
                </w:p>
              </w:tc>
              <w:tc>
                <w:tcPr>
                  <w:tcW w:w="137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粗加工间</w:t>
                  </w:r>
                </w:p>
              </w:tc>
              <w:tc>
                <w:tcPr>
                  <w:tcW w:w="160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highlight w:val="none"/>
                    </w:rPr>
                    <w:t>有效证明及感官</w:t>
                  </w:r>
                </w:p>
              </w:tc>
              <w:tc>
                <w:tcPr>
                  <w:tcW w:w="14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已记录</w:t>
                  </w:r>
                </w:p>
              </w:tc>
              <w:tc>
                <w:tcPr>
                  <w:tcW w:w="2302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食品级原材料采购进货查验记录</w:t>
                  </w: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OPRP2</w:t>
                  </w:r>
                </w:p>
              </w:tc>
              <w:tc>
                <w:tcPr>
                  <w:tcW w:w="1378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餐具洗消间</w:t>
                  </w:r>
                </w:p>
              </w:tc>
              <w:tc>
                <w:tcPr>
                  <w:tcW w:w="1600" w:type="dxa"/>
                </w:tcPr>
                <w:p>
                  <w:pPr>
                    <w:spacing w:after="0" w:line="240" w:lineRule="exac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lang w:val="en-US" w:eastAsia="zh-CN"/>
                    </w:rPr>
                    <w:t>热风循环消毒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lang w:val="en-US" w:eastAsia="zh-CN"/>
                    </w:rPr>
                    <w:t>125℃/30min</w:t>
                  </w:r>
                </w:p>
              </w:tc>
              <w:tc>
                <w:tcPr>
                  <w:tcW w:w="14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已记录</w:t>
                  </w:r>
                </w:p>
              </w:tc>
              <w:tc>
                <w:tcPr>
                  <w:tcW w:w="230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消毒柜运行正常；温度：125℃；时间30min</w:t>
                  </w: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OPRP3</w:t>
                  </w:r>
                </w:p>
              </w:tc>
              <w:tc>
                <w:tcPr>
                  <w:tcW w:w="137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0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30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HACCP的实施情况：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4"/>
              <w:gridCol w:w="1358"/>
              <w:gridCol w:w="2229"/>
              <w:gridCol w:w="1558"/>
              <w:gridCol w:w="1615"/>
              <w:gridCol w:w="13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地点</w:t>
                  </w:r>
                </w:p>
              </w:tc>
              <w:tc>
                <w:tcPr>
                  <w:tcW w:w="22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关键限值CL</w:t>
                  </w:r>
                </w:p>
              </w:tc>
              <w:tc>
                <w:tcPr>
                  <w:tcW w:w="15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记录情况</w:t>
                  </w:r>
                </w:p>
              </w:tc>
              <w:tc>
                <w:tcPr>
                  <w:tcW w:w="161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现场显示</w:t>
                  </w: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CCP1</w:t>
                  </w:r>
                </w:p>
              </w:tc>
              <w:tc>
                <w:tcPr>
                  <w:tcW w:w="1358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厨房</w:t>
                  </w:r>
                </w:p>
              </w:tc>
              <w:tc>
                <w:tcPr>
                  <w:tcW w:w="22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2"/>
                      <w:highlight w:val="none"/>
                    </w:rPr>
                    <w:t>中心温度≥</w:t>
                  </w:r>
                  <w:r>
                    <w:rPr>
                      <w:rFonts w:ascii="宋体" w:hAnsi="宋体" w:cs="宋体"/>
                      <w:kern w:val="0"/>
                      <w:szCs w:val="22"/>
                      <w:highlight w:val="none"/>
                    </w:rPr>
                    <w:t>70</w:t>
                  </w:r>
                  <w:r>
                    <w:rPr>
                      <w:kern w:val="0"/>
                      <w:szCs w:val="22"/>
                      <w:highlight w:val="none"/>
                      <w:vertAlign w:val="superscript"/>
                    </w:rPr>
                    <w:t>0</w:t>
                  </w:r>
                  <w:r>
                    <w:rPr>
                      <w:kern w:val="0"/>
                      <w:szCs w:val="22"/>
                      <w:highlight w:val="none"/>
                    </w:rPr>
                    <w:t>C</w:t>
                  </w:r>
                </w:p>
              </w:tc>
              <w:tc>
                <w:tcPr>
                  <w:tcW w:w="1558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已记录</w:t>
                  </w:r>
                </w:p>
              </w:tc>
              <w:tc>
                <w:tcPr>
                  <w:tcW w:w="1615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7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highlight w:val="none"/>
                    </w:rPr>
                    <w:t>℃</w:t>
                  </w: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CCP2</w:t>
                  </w:r>
                </w:p>
              </w:tc>
              <w:tc>
                <w:tcPr>
                  <w:tcW w:w="1358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面点间</w:t>
                  </w:r>
                </w:p>
              </w:tc>
              <w:tc>
                <w:tcPr>
                  <w:tcW w:w="22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复核膨松剂（双效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fr-FR"/>
                    </w:rPr>
                    <w:t>泡打粉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）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fr-FR"/>
                    </w:rPr>
                    <w:t>≤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17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fr-FR"/>
                    </w:rPr>
                    <w:t>g/kg</w:t>
                  </w:r>
                </w:p>
              </w:tc>
              <w:tc>
                <w:tcPr>
                  <w:tcW w:w="1558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已记录</w:t>
                  </w:r>
                </w:p>
              </w:tc>
              <w:tc>
                <w:tcPr>
                  <w:tcW w:w="1615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1.7g/kg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5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2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5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1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gridSpan w:val="2"/>
          </w:tcPr>
          <w:p>
            <w:r>
              <w:rPr>
                <w:rFonts w:hint="eastAsia"/>
              </w:rPr>
              <w:t>监视和测量设备</w:t>
            </w:r>
          </w:p>
        </w:tc>
        <w:tc>
          <w:tcPr>
            <w:tcW w:w="949" w:type="dxa"/>
            <w:gridSpan w:val="2"/>
          </w:tcPr>
          <w:p>
            <w:pPr>
              <w:rPr>
                <w:rFonts w:hint="eastAsia"/>
                <w:strike/>
                <w:dstrike w:val="0"/>
              </w:rPr>
            </w:pPr>
            <w:r>
              <w:rPr>
                <w:rFonts w:hint="eastAsia"/>
                <w:strike/>
                <w:dstrike w:val="0"/>
              </w:rPr>
              <w:t>F8.7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H7.8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如：《监视和测量资源控制程序》、手册第8.7条款</w:t>
            </w:r>
          </w:p>
        </w:tc>
        <w:tc>
          <w:tcPr>
            <w:tcW w:w="1585" w:type="dxa"/>
            <w:gridSpan w:val="3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2179" w:type="dxa"/>
            <w:gridSpan w:val="3"/>
          </w:tcPr>
          <w:p/>
        </w:tc>
        <w:tc>
          <w:tcPr>
            <w:tcW w:w="930" w:type="dxa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了解用于食品安全检测的监视和测量资源种类： 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温度计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电子天平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</w:t>
            </w:r>
            <w:r>
              <w:rPr>
                <w:rFonts w:hint="eastAsia"/>
                <w:lang w:val="en-US" w:eastAsia="zh-CN"/>
              </w:rPr>
              <w:t>称</w:t>
            </w:r>
          </w:p>
          <w:p>
            <w:pPr>
              <w:ind w:firstLine="1470" w:firstLineChars="7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highlight w:val="none"/>
              </w:rPr>
              <w:t>监视设备</w:t>
            </w:r>
            <w:r>
              <w:rPr>
                <w:rFonts w:hint="eastAsia"/>
              </w:rPr>
              <w:t xml:space="preserve"> 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监视系统</w:t>
            </w:r>
          </w:p>
          <w:p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定期验证的计划，频次：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/>
          <w:p>
            <w:r>
              <w:rPr>
                <w:rFonts w:hint="eastAsia"/>
              </w:rPr>
              <w:t>查看《计量器具台账》，抽查外部检定或校准情况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79"/>
              <w:gridCol w:w="2802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9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802" w:type="dxa"/>
                </w:tcPr>
                <w:p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9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笔式温度计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TP677</w:t>
                  </w:r>
                </w:p>
              </w:tc>
              <w:tc>
                <w:tcPr>
                  <w:tcW w:w="2802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证书编号 第HK0753210726号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2022-07-25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加工</w:t>
                  </w:r>
                  <w:r>
                    <w:rPr>
                      <w:rFonts w:hint="eastAsia"/>
                      <w:highlight w:val="none"/>
                    </w:rPr>
                    <w:t xml:space="preserve">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9" w:type="dxa"/>
                </w:tcPr>
                <w:p>
                  <w:pPr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电子台秤</w:t>
                  </w:r>
                </w:p>
                <w:p>
                  <w:pPr>
                    <w:pStyle w:val="2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HE-400</w:t>
                  </w:r>
                </w:p>
              </w:tc>
              <w:tc>
                <w:tcPr>
                  <w:tcW w:w="2802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证书编号 第ZD202111260734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2022-11-25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加工</w:t>
                  </w:r>
                  <w:r>
                    <w:rPr>
                      <w:rFonts w:hint="eastAsia"/>
                      <w:highlight w:val="none"/>
                    </w:rPr>
                    <w:t xml:space="preserve">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9" w:type="dxa"/>
                </w:tcPr>
                <w:p>
                  <w:pPr>
                    <w:rPr>
                      <w:rFonts w:hint="default" w:eastAsia="宋体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冰箱温度计</w:t>
                  </w:r>
                </w:p>
              </w:tc>
              <w:tc>
                <w:tcPr>
                  <w:tcW w:w="2802" w:type="dxa"/>
                </w:tcPr>
                <w:p>
                  <w:pPr>
                    <w:rPr>
                      <w:rFonts w:hint="default" w:eastAsia="宋体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正在购买中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2923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9" w:type="dxa"/>
                </w:tcPr>
                <w:p>
                  <w:pPr>
                    <w:rPr>
                      <w:rFonts w:hint="default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2802" w:type="dxa"/>
                </w:tcPr>
                <w:p>
                  <w:pPr>
                    <w:rPr>
                      <w:rFonts w:hint="eastAsia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cyan"/>
                      <w:lang w:val="en-US" w:eastAsia="zh-CN" w:bidi="ar-SA"/>
                    </w:rPr>
                  </w:pP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9" w:type="dxa"/>
                </w:tcPr>
                <w:p>
                  <w:pPr>
                    <w:rPr>
                      <w:rFonts w:hint="default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2802" w:type="dxa"/>
                </w:tcPr>
                <w:p>
                  <w:pPr>
                    <w:rPr>
                      <w:rFonts w:hint="eastAsia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lang w:val="en-US" w:eastAsia="zh-CN" w:bidi="ar-SA"/>
                    </w:rPr>
                  </w:pP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lang w:val="en-US" w:eastAsia="zh-CN" w:bidi="ar-SA"/>
                    </w:rPr>
                  </w:pPr>
                </w:p>
              </w:tc>
            </w:tr>
          </w:tbl>
          <w:p/>
          <w:p/>
          <w:p>
            <w:r>
              <w:rPr>
                <w:rFonts w:hint="eastAsia"/>
              </w:rPr>
              <w:t>抽查内部校准情况；抽查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《内部校准计划》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《校准规程》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《校准记录》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</w:tbl>
          <w:p/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/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标准溶液控制：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不适用</w:t>
            </w:r>
            <w:r>
              <w:rPr>
                <w:rFonts w:hint="eastAsia"/>
                <w:lang w:eastAsia="zh-CN"/>
              </w:rPr>
              <w:t>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>
            <w:r>
              <w:t>在FSMS中</w:t>
            </w:r>
            <w:r>
              <w:rPr>
                <w:rFonts w:hint="eastAsia"/>
              </w:rPr>
              <w:t>是否使用</w:t>
            </w:r>
            <w:r>
              <w:t>用于监视和测量的软件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否</w:t>
            </w:r>
          </w:p>
          <w:p>
            <w:r>
              <w:t>在使用前应由组织、软件供应商或第三方进行验证。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</w:t>
            </w:r>
            <w:r>
              <w:rPr>
                <w:rFonts w:hint="eastAsia"/>
              </w:rPr>
              <w:t xml:space="preserve"> </w:t>
            </w:r>
          </w:p>
          <w:p>
            <w:r>
              <w:t>组织应保持验证活动的文件化信息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  <w:r>
              <w:rPr>
                <w:rFonts w:hint="eastAsia"/>
              </w:rPr>
              <w:t xml:space="preserve">  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是否</w:t>
            </w:r>
            <w:r>
              <w:t>及时更新软件。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</w:p>
          <w:p>
            <w:r>
              <w:rPr>
                <w:rFonts w:hint="eastAsia"/>
              </w:rPr>
              <w:t>当</w:t>
            </w:r>
            <w:r>
              <w:t>发生变更</w:t>
            </w:r>
            <w:r>
              <w:rPr>
                <w:rFonts w:hint="eastAsia"/>
              </w:rPr>
              <w:t>时，</w:t>
            </w:r>
            <w:r>
              <w:t>包括对商用现成软件的软件配置/修改，应在实施前对其进行授权、记录和验证。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不合格产品和过程的控制</w:t>
            </w:r>
          </w:p>
          <w:p/>
        </w:tc>
        <w:tc>
          <w:tcPr>
            <w:tcW w:w="930" w:type="dxa"/>
            <w:vMerge w:val="restart"/>
            <w:shd w:val="clear" w:color="auto" w:fill="auto"/>
          </w:tcPr>
          <w:p>
            <w:pPr>
              <w:rPr>
                <w:rFonts w:hint="eastAsia"/>
                <w:strike/>
                <w:dstrike w:val="0"/>
              </w:rPr>
            </w:pPr>
            <w:r>
              <w:rPr>
                <w:rFonts w:hint="eastAsia"/>
                <w:strike/>
                <w:dstrike w:val="0"/>
              </w:rPr>
              <w:t>F8.9.1</w:t>
            </w:r>
          </w:p>
          <w:p>
            <w:pPr>
              <w:pStyle w:val="2"/>
              <w:rPr>
                <w:rFonts w:hint="default" w:eastAsia="宋体"/>
                <w:strike w:val="0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lang w:val="en-US" w:eastAsia="zh-CN"/>
              </w:rPr>
              <w:t>H7.7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《不合格品控制程序》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不合格输出和潜在不安全产品控制程序</w:t>
            </w:r>
            <w:r>
              <w:rPr>
                <w:rFonts w:hint="eastAsia"/>
                <w:lang w:eastAsia="zh-CN"/>
              </w:rPr>
              <w:t>》</w:t>
            </w:r>
          </w:p>
          <w:p/>
        </w:tc>
        <w:tc>
          <w:tcPr>
            <w:tcW w:w="1585" w:type="dxa"/>
            <w:gridSpan w:val="3"/>
            <w:vMerge w:val="restart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179" w:type="dxa"/>
            <w:gridSpan w:val="3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进行评估OPRP和CCPs监测的数据,如有问题：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餐饮服务部经理韩向林先生 </w:t>
            </w:r>
          </w:p>
          <w:p/>
          <w:p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餐饮服务部经理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韩向林先生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纠正</w:t>
            </w:r>
          </w:p>
        </w:tc>
        <w:tc>
          <w:tcPr>
            <w:tcW w:w="930" w:type="dxa"/>
            <w:vMerge w:val="restart"/>
            <w:shd w:val="clear" w:color="auto" w:fill="auto"/>
          </w:tcPr>
          <w:p>
            <w:pPr>
              <w:rPr>
                <w:rFonts w:hint="eastAsia"/>
                <w:strike/>
                <w:dstrike w:val="0"/>
              </w:rPr>
            </w:pPr>
            <w:r>
              <w:rPr>
                <w:rFonts w:hint="eastAsia"/>
                <w:strike/>
                <w:dstrike w:val="0"/>
              </w:rPr>
              <w:t>F8.9.2</w:t>
            </w:r>
          </w:p>
          <w:p>
            <w:r>
              <w:rPr>
                <w:rFonts w:hint="eastAsia"/>
                <w:lang w:val="en-US" w:eastAsia="zh-CN"/>
              </w:rPr>
              <w:t>H7.7</w:t>
            </w: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《不合格控制程序》、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《纠正措施控制程序》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不合格输出和潜在不安全产品控制程序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gridSpan w:val="3"/>
            <w:vMerge w:val="restart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79" w:type="dxa"/>
            <w:gridSpan w:val="3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950"/>
              <w:gridCol w:w="1450"/>
              <w:gridCol w:w="1400"/>
              <w:gridCol w:w="15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950" w:type="dxa"/>
                </w:tcPr>
                <w:p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450" w:type="dxa"/>
                </w:tcPr>
                <w:p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未发生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见《不合格品处置记录》</w:t>
            </w:r>
          </w:p>
        </w:tc>
        <w:tc>
          <w:tcPr>
            <w:tcW w:w="1585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930" w:type="dxa"/>
            <w:vMerge w:val="restart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  <w:strike/>
                <w:dstrike w:val="0"/>
              </w:rPr>
              <w:t>F8.9.3</w:t>
            </w:r>
          </w:p>
          <w:p>
            <w:pPr>
              <w:pStyle w:val="2"/>
            </w:pPr>
            <w:r>
              <w:rPr>
                <w:rFonts w:hint="eastAsia"/>
                <w:lang w:val="en-US" w:eastAsia="zh-CN"/>
              </w:rPr>
              <w:t>H7.7</w:t>
            </w: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《纠正措施控制程序》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纠正和纠正措施控制程序 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gridSpan w:val="3"/>
            <w:vMerge w:val="restart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179" w:type="dxa"/>
            <w:gridSpan w:val="3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内审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 </w:t>
            </w:r>
            <w:r>
              <w:rPr>
                <w:rFonts w:hint="eastAsia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797" w:type="dxa"/>
                </w:tcPr>
                <w:p/>
                <w:p/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  <w:p/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  <w:p/>
        </w:tc>
        <w:tc>
          <w:tcPr>
            <w:tcW w:w="1585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3"/>
            <w:vMerge w:val="restart"/>
            <w:shd w:val="clear" w:color="auto" w:fill="auto"/>
          </w:tcPr>
          <w:p>
            <w:r>
              <w:t>潜在不安全产品的处置</w:t>
            </w:r>
          </w:p>
        </w:tc>
        <w:tc>
          <w:tcPr>
            <w:tcW w:w="930" w:type="dxa"/>
            <w:vMerge w:val="restart"/>
            <w:shd w:val="clear" w:color="auto" w:fill="auto"/>
          </w:tcPr>
          <w:p>
            <w:pPr>
              <w:rPr>
                <w:rFonts w:hint="eastAsia"/>
                <w:strike/>
                <w:dstrike w:val="0"/>
              </w:rPr>
            </w:pPr>
            <w:r>
              <w:rPr>
                <w:rFonts w:hint="eastAsia"/>
                <w:strike/>
                <w:dstrike w:val="0"/>
              </w:rPr>
              <w:t>F8.9.4</w:t>
            </w:r>
          </w:p>
          <w:p>
            <w:r>
              <w:rPr>
                <w:rFonts w:hint="eastAsia"/>
                <w:lang w:val="en-US" w:eastAsia="zh-CN"/>
              </w:rPr>
              <w:t>H7.7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《不合格品控制程序》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不合格输出和潜在不安全产品控制程序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gridSpan w:val="3"/>
            <w:vMerge w:val="restart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179" w:type="dxa"/>
            <w:gridSpan w:val="3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/>
          <w:p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 xml:space="preserve"> 。</w:t>
            </w:r>
          </w:p>
          <w:p/>
        </w:tc>
        <w:tc>
          <w:tcPr>
            <w:tcW w:w="1585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9" w:type="dxa"/>
            <w:gridSpan w:val="3"/>
            <w:vMerge w:val="restart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放行的评价</w:t>
            </w:r>
          </w:p>
        </w:tc>
        <w:tc>
          <w:tcPr>
            <w:tcW w:w="930" w:type="dxa"/>
            <w:vMerge w:val="restart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strike/>
                <w:dstrike w:val="0"/>
                <w:highlight w:val="none"/>
              </w:rPr>
              <w:t>F8.9.4.2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H6.5</w:t>
            </w:r>
            <w:r>
              <w:rPr>
                <w:rFonts w:hint="eastAsia"/>
                <w:highlight w:val="none"/>
              </w:rPr>
              <w:t xml:space="preserve"> </w:t>
            </w:r>
          </w:p>
        </w:tc>
        <w:tc>
          <w:tcPr>
            <w:tcW w:w="762" w:type="dxa"/>
            <w:gridSpan w:val="3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如：《产品检验控制程序》或《服务放行控制程序》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执行标准（接收准则）：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2282"/>
              <w:gridCol w:w="2831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放行类型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抽样要求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原材料检验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100%目测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外观、验证合格证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半成品首检</w:t>
                  </w:r>
                </w:p>
              </w:tc>
              <w:tc>
                <w:tcPr>
                  <w:tcW w:w="228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半成品检验</w:t>
                  </w:r>
                </w:p>
              </w:tc>
              <w:tc>
                <w:tcPr>
                  <w:tcW w:w="228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100%目测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外观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成品检验</w:t>
                  </w:r>
                </w:p>
              </w:tc>
              <w:tc>
                <w:tcPr>
                  <w:tcW w:w="228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100%目测</w:t>
                  </w:r>
                </w:p>
              </w:tc>
              <w:tc>
                <w:tcPr>
                  <w:tcW w:w="283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外观、品尝（必要时）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服务放行</w:t>
                  </w:r>
                </w:p>
              </w:tc>
              <w:tc>
                <w:tcPr>
                  <w:tcW w:w="228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100%目测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目测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585" w:type="dxa"/>
            <w:gridSpan w:val="3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179" w:type="dxa"/>
            <w:gridSpan w:val="3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930" w:type="dxa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762" w:type="dxa"/>
            <w:gridSpan w:val="3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放行包括：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</w:rPr>
              <w:t>服务放行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抽取原材料检验相关记录名称：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食品及食品原材料进货查验记录</w:t>
            </w:r>
            <w:r>
              <w:rPr>
                <w:rFonts w:hint="eastAsia"/>
                <w:highlight w:val="none"/>
                <w:u w:val="single"/>
              </w:rPr>
              <w:t xml:space="preserve">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物料名称/批次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11-01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猪肉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新鲜，检疫合格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有检疫合格证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11-10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大米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外包装完好，索证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外包装完好，索证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11-24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西蓝花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100%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新鲜，无腐烂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新鲜，无腐烂，索证（有机磷）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11-25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海天酱油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100%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外包装完好，索证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外包装完好，索证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抽取半成品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无</w:t>
            </w:r>
            <w:r>
              <w:rPr>
                <w:rFonts w:hint="eastAsia"/>
                <w:highlight w:val="none"/>
                <w:u w:val="single"/>
              </w:rPr>
              <w:t xml:space="preserve">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856"/>
              <w:gridCol w:w="1390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半</w:t>
                  </w: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85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3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11-10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蒜台肉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随机一份</w:t>
                  </w:r>
                </w:p>
              </w:tc>
              <w:tc>
                <w:tcPr>
                  <w:tcW w:w="185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无异物，新鲜</w:t>
                  </w:r>
                </w:p>
              </w:tc>
              <w:tc>
                <w:tcPr>
                  <w:tcW w:w="13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外观正常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11-8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炒鸡胸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随机一份</w:t>
                  </w:r>
                </w:p>
              </w:tc>
              <w:tc>
                <w:tcPr>
                  <w:tcW w:w="185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无异物，新鲜</w:t>
                  </w:r>
                </w:p>
              </w:tc>
              <w:tc>
                <w:tcPr>
                  <w:tcW w:w="139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外观正常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11-19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麻辣香锅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随机一份</w:t>
                  </w:r>
                </w:p>
              </w:tc>
              <w:tc>
                <w:tcPr>
                  <w:tcW w:w="185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无异物，新鲜</w:t>
                  </w:r>
                </w:p>
              </w:tc>
              <w:tc>
                <w:tcPr>
                  <w:tcW w:w="13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外观正常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11-22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咖喱鸡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随机一份</w:t>
                  </w:r>
                </w:p>
              </w:tc>
              <w:tc>
                <w:tcPr>
                  <w:tcW w:w="185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无异物，新鲜</w:t>
                  </w:r>
                </w:p>
              </w:tc>
              <w:tc>
                <w:tcPr>
                  <w:tcW w:w="13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外观正常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菜肴中心温度记录表</w:t>
            </w:r>
            <w:r>
              <w:rPr>
                <w:rFonts w:hint="eastAsia"/>
                <w:highlight w:val="none"/>
                <w:u w:val="single"/>
              </w:rPr>
              <w:t xml:space="preserve">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09-10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糖醋里脊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中心温度72℃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外观正常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10-25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白灼芥蓝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中心温度77℃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外观正常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11-16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回锅肉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中心温度72℃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外观正常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抽取服务放行相关记录名称：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无</w:t>
            </w:r>
            <w:r>
              <w:rPr>
                <w:rFonts w:hint="eastAsia"/>
                <w:highlight w:val="none"/>
                <w:u w:val="single"/>
              </w:rPr>
              <w:t xml:space="preserve">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服务规范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11-25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售饭档口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一次性手套和一次性口罩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正常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抽取成品例外（</w:t>
            </w:r>
            <w:r>
              <w:rPr>
                <w:highlight w:val="none"/>
              </w:rPr>
              <w:t>在策划的安排已圆满完成之前</w:t>
            </w:r>
            <w:r>
              <w:rPr>
                <w:rFonts w:hint="eastAsia"/>
                <w:highlight w:val="none"/>
              </w:rPr>
              <w:t>）放行相关记录：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 xml:space="preserve">已放生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</w:rPr>
              <w:t>未发生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7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7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上述成品/服务放行的人员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与公司授权存在不一致</w:t>
            </w:r>
          </w:p>
          <w:p>
            <w:pPr>
              <w:rPr>
                <w:highlight w:val="yellow"/>
              </w:rPr>
            </w:pP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79" w:type="dxa"/>
            <w:gridSpan w:val="3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930" w:type="dxa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762" w:type="dxa"/>
            <w:gridSpan w:val="3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现场观察</w:t>
            </w:r>
          </w:p>
        </w:tc>
        <w:tc>
          <w:tcPr>
            <w:tcW w:w="9253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成品/服务放行的人员对相关知识的理解和能力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不符合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79" w:type="dxa"/>
            <w:gridSpan w:val="3"/>
            <w:vMerge w:val="restart"/>
          </w:tcPr>
          <w:p>
            <w:r>
              <w:rPr>
                <w:rFonts w:hint="eastAsia"/>
              </w:rPr>
              <w:t>不合格品的处理</w:t>
            </w:r>
          </w:p>
        </w:tc>
        <w:tc>
          <w:tcPr>
            <w:tcW w:w="93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  <w:strike/>
                <w:dstrike w:val="0"/>
              </w:rPr>
              <w:t>F8.9.4.3</w:t>
            </w:r>
          </w:p>
          <w:p>
            <w:r>
              <w:rPr>
                <w:rFonts w:hint="eastAsia"/>
                <w:lang w:val="en-US" w:eastAsia="zh-CN"/>
              </w:rPr>
              <w:t>H7.8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如：《不合格产品/服务控制程序》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不合格输出和潜在不安全产品控制程序</w:t>
            </w:r>
            <w:r>
              <w:rPr>
                <w:rFonts w:hint="eastAsia"/>
                <w:lang w:eastAsia="zh-CN"/>
              </w:rPr>
              <w:t>》</w:t>
            </w:r>
          </w:p>
          <w:p/>
        </w:tc>
        <w:tc>
          <w:tcPr>
            <w:tcW w:w="1585" w:type="dxa"/>
            <w:gridSpan w:val="3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2179" w:type="dxa"/>
            <w:gridSpan w:val="3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体系建立以来有发生，拒收</w:t>
                  </w:r>
                </w:p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 xml:space="preserve">《  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体系建立以来未发生</w:t>
                  </w:r>
                </w:p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 xml:space="preserve">《 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体系建立以来未发生</w:t>
                  </w:r>
                </w:p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</w:t>
            </w:r>
            <w:r>
              <w:rPr>
                <w:rFonts w:hint="eastAsia"/>
                <w:lang w:val="en-US" w:eastAsia="zh-CN"/>
              </w:rPr>
              <w:t>售</w:t>
            </w:r>
            <w:r>
              <w:rPr>
                <w:rFonts w:hint="eastAsia"/>
              </w:rPr>
              <w:t>后不合格成品处置相关记录：名称：</w:t>
            </w:r>
            <w:r>
              <w:rPr>
                <w:rFonts w:hint="eastAsia"/>
                <w:u w:val="single"/>
              </w:rPr>
              <w:t xml:space="preserve">《 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体系建立以来未发生</w:t>
                  </w:r>
                </w:p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u w:val="single"/>
              </w:rPr>
              <w:t xml:space="preserve">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79" w:type="dxa"/>
            <w:gridSpan w:val="3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3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pPr>
              <w:rPr>
                <w:rFonts w:hint="default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u w:val="single"/>
                <w:lang w:val="en-US" w:eastAsia="zh-CN"/>
              </w:rPr>
              <w:t>现场查看冷冻库温度-10.8℃，符合要求。</w:t>
            </w:r>
          </w:p>
          <w:p>
            <w:r>
              <w:rPr>
                <w:rFonts w:hint="eastAsia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79" w:type="dxa"/>
            <w:gridSpan w:val="3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不符合与纠正措施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不适用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  <w:strike/>
                <w:dstrike w:val="0"/>
              </w:rPr>
              <w:t>F10.1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如：《不符合和纠正措施控制程序》</w:t>
            </w:r>
            <w:r>
              <w:rPr>
                <w:rFonts w:hint="eastAsia"/>
                <w:shd w:val="clear" w:color="auto" w:fill="auto"/>
              </w:rPr>
              <w:t xml:space="preserve"> </w:t>
            </w:r>
            <w:r>
              <w:rPr>
                <w:rFonts w:hint="eastAsia"/>
                <w:shd w:val="clear" w:color="auto" w:fill="auto"/>
              </w:rPr>
              <w:sym w:font="Wingdings" w:char="00FE"/>
            </w:r>
            <w:r>
              <w:rPr>
                <w:rFonts w:hint="eastAsia"/>
                <w:shd w:val="clear" w:color="auto" w:fill="auto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 xml:space="preserve">纠正和纠正措施控制程序 </w:t>
            </w:r>
            <w:r>
              <w:rPr>
                <w:rFonts w:hint="eastAsia"/>
                <w:shd w:val="clear" w:color="auto" w:fill="auto"/>
                <w:lang w:eastAsia="zh-CN"/>
              </w:rPr>
              <w:t>》</w:t>
            </w:r>
            <w:r>
              <w:rPr>
                <w:rFonts w:hint="eastAsia"/>
                <w:shd w:val="clear" w:color="auto" w:fill="auto"/>
              </w:rPr>
              <w:t xml:space="preserve"> </w:t>
            </w:r>
            <w:r>
              <w:rPr>
                <w:rFonts w:hint="eastAsia"/>
                <w:shd w:val="clear" w:color="auto" w:fill="auto"/>
              </w:rPr>
              <w:sym w:font="Wingdings" w:char="00FE"/>
            </w:r>
            <w:r>
              <w:rPr>
                <w:rFonts w:hint="eastAsia"/>
                <w:shd w:val="clear" w:color="auto" w:fill="auto"/>
                <w:lang w:eastAsia="zh-CN"/>
              </w:rPr>
              <w:t>《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不合格输出和潜在不安全产品控制程序</w:t>
            </w:r>
            <w:r>
              <w:rPr>
                <w:rFonts w:hint="eastAsia"/>
                <w:shd w:val="clear" w:color="auto" w:fill="auto"/>
                <w:lang w:eastAsia="zh-CN"/>
              </w:rPr>
              <w:t>》</w:t>
            </w:r>
          </w:p>
        </w:tc>
        <w:tc>
          <w:tcPr>
            <w:tcW w:w="1585" w:type="dxa"/>
            <w:gridSpan w:val="3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179" w:type="dxa"/>
            <w:gridSpan w:val="3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不符合的来源：</w:t>
            </w:r>
          </w:p>
          <w:p>
            <w:pPr>
              <w:rPr>
                <w:rFonts w:hint="default"/>
                <w:lang w:val="en-US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产品质量问题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工作运行中的问题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</w:t>
            </w:r>
            <w:r>
              <w:rPr>
                <w:rFonts w:hint="eastAsia"/>
                <w:lang w:eastAsia="zh-CN"/>
              </w:rPr>
              <w:t>—</w:t>
            </w:r>
            <w:r>
              <w:rPr>
                <w:rFonts w:hint="eastAsia"/>
                <w:lang w:val="en-US" w:eastAsia="zh-CN"/>
              </w:rPr>
              <w:t>内审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                 》     </w:t>
            </w:r>
          </w:p>
          <w:p>
            <w:pPr>
              <w:rPr>
                <w:rFonts w:hint="default" w:eastAsia="宋体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内审不符合见“综合部”记录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3" w:hRule="atLeast"/>
              </w:trPr>
              <w:tc>
                <w:tcPr>
                  <w:tcW w:w="797" w:type="dxa"/>
                </w:tcPr>
                <w:p/>
                <w:p/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/>
              </w:tc>
            </w:tr>
          </w:tbl>
          <w:p/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179" w:type="dxa"/>
            <w:gridSpan w:val="3"/>
            <w:vMerge w:val="restart"/>
          </w:tcPr>
          <w:p>
            <w:r>
              <w:rPr>
                <w:rFonts w:hint="eastAsia"/>
                <w:szCs w:val="21"/>
              </w:rPr>
              <w:t>过敏原的管理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  <w:szCs w:val="21"/>
              </w:rPr>
              <w:t>HACCP1.0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 w:ascii="宋体" w:hAnsi="宋体"/>
                <w:szCs w:val="21"/>
              </w:rPr>
              <w:t>《过敏原控制管理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规定</w:t>
            </w:r>
            <w:r>
              <w:rPr>
                <w:rFonts w:hint="eastAsia" w:ascii="宋体" w:hAnsi="宋体"/>
                <w:szCs w:val="21"/>
              </w:rPr>
              <w:t>》</w:t>
            </w:r>
          </w:p>
        </w:tc>
        <w:tc>
          <w:tcPr>
            <w:tcW w:w="1585" w:type="dxa"/>
            <w:gridSpan w:val="3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179" w:type="dxa"/>
            <w:gridSpan w:val="3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致敏物质评估：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牛</w:t>
            </w:r>
            <w:r>
              <w:rPr>
                <w:rFonts w:hint="eastAsia"/>
              </w:rPr>
              <w:t>奶；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>坚果；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>鱼；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>虾；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>蛋；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>大豆；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>花生；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>小麦；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识别致敏物质的污染途径：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>原材料；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>仓储；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运输；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>加工中交叉污染；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人员</w:t>
            </w:r>
            <w:r>
              <w:rPr>
                <w:rFonts w:hint="eastAsia"/>
              </w:rPr>
              <w:t>；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交叉污染的控制措施：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有效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基本有效    □效果欠佳，需要改进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控制措施进行定期确认和验证：</w:t>
            </w:r>
            <w:r>
              <w:rPr>
                <w:rFonts w:hint="eastAsia" w:ascii="宋体" w:hAnsi="宋体"/>
                <w:szCs w:val="21"/>
              </w:rPr>
              <w:t>□通过检测没有发现过敏物质；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无需检测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致敏物质的标识：</w:t>
            </w:r>
            <w:r>
              <w:rPr>
                <w:rFonts w:hint="eastAsia" w:ascii="宋体" w:hAnsi="宋体"/>
                <w:szCs w:val="21"/>
              </w:rPr>
              <w:t xml:space="preserve">□明显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比较明显    □不明显，需要改进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宋体"/>
                <w:color w:val="0000FF"/>
                <w:szCs w:val="21"/>
              </w:rPr>
            </w:pPr>
          </w:p>
          <w:p>
            <w:r>
              <w:rPr>
                <w:rFonts w:hint="eastAsia" w:ascii="宋体" w:hAnsi="宋体"/>
                <w:color w:val="0000FF"/>
                <w:szCs w:val="21"/>
              </w:rPr>
              <w:t>本企业</w:t>
            </w:r>
            <w:r>
              <w:rPr>
                <w:rFonts w:hint="eastAsia" w:ascii="宋体" w:hAnsi="宋体"/>
                <w:color w:val="0000FF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FF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FF"/>
                <w:szCs w:val="21"/>
                <w:u w:val="single"/>
                <w:lang w:val="en-US" w:eastAsia="zh-CN"/>
              </w:rPr>
              <w:t>小麦、鱼、虾、大豆、鸡蛋、花生</w:t>
            </w:r>
            <w:r>
              <w:rPr>
                <w:rFonts w:ascii="宋体" w:hAnsi="宋体"/>
                <w:color w:val="0000FF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FF"/>
                <w:szCs w:val="21"/>
              </w:rPr>
              <w:t>属于过敏原的范畴。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9" w:type="dxa"/>
            <w:gridSpan w:val="3"/>
            <w:vMerge w:val="restart"/>
          </w:tcPr>
          <w:p>
            <w:r>
              <w:rPr>
                <w:rFonts w:hint="eastAsia"/>
                <w:szCs w:val="21"/>
              </w:rPr>
              <w:t>食品欺诈的控制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  <w:szCs w:val="21"/>
              </w:rPr>
              <w:t>HACCP1.0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/>
                <w:szCs w:val="21"/>
              </w:rPr>
              <w:t>食品欺诈</w:t>
            </w:r>
            <w:r>
              <w:rPr>
                <w:rFonts w:hint="eastAsia" w:ascii="宋体" w:hAnsi="宋体"/>
                <w:szCs w:val="21"/>
              </w:rPr>
              <w:t>控制程序》和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/>
              </w:rPr>
              <w:t>食品欺诈预防计划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  <w:lang w:eastAsia="zh-CN"/>
              </w:rPr>
              <w:t>☑《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预防和消除食品欺诈程序 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</w:p>
          <w:p/>
        </w:tc>
        <w:tc>
          <w:tcPr>
            <w:tcW w:w="1585" w:type="dxa"/>
            <w:gridSpan w:val="3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179" w:type="dxa"/>
            <w:gridSpan w:val="3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>a）识别潜在的脆弱环节；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color w:val="0000FF"/>
                <w:u w:val="single"/>
                <w:lang w:eastAsia="zh-CN"/>
              </w:rPr>
              <w:t>《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防食品欺诈验证报告</w:t>
            </w:r>
            <w:r>
              <w:rPr>
                <w:rFonts w:hint="eastAsia"/>
                <w:color w:val="0000FF"/>
                <w:u w:val="single"/>
                <w:lang w:eastAsia="zh-CN"/>
              </w:rPr>
              <w:t>》</w:t>
            </w:r>
            <w:r>
              <w:rPr>
                <w:color w:val="0000FF"/>
                <w:u w:val="single"/>
              </w:rPr>
              <w:t xml:space="preserve">  </w:t>
            </w:r>
            <w:r>
              <w:rPr>
                <w:rFonts w:hint="eastAsia"/>
                <w:color w:val="0000FF"/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r>
              <w:rPr>
                <w:rFonts w:hint="eastAsia"/>
              </w:rPr>
              <w:t>b）制定预防食品欺诈的措施；</w:t>
            </w:r>
            <w:r>
              <w:rPr>
                <w:rFonts w:hint="eastAsia" w:ascii="宋体" w:hAnsi="宋体"/>
                <w:szCs w:val="21"/>
              </w:rPr>
              <w:t xml:space="preserve">□有效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基本有效    □效果欠佳，需要改进</w:t>
            </w:r>
          </w:p>
          <w:p>
            <w:r>
              <w:rPr>
                <w:rFonts w:hint="eastAsia"/>
              </w:rPr>
              <w:t>c）根据脆弱性，对措施的优先顺序进行排序。</w:t>
            </w:r>
            <w:r>
              <w:rPr>
                <w:rFonts w:hint="eastAsia" w:ascii="宋体" w:hAnsi="宋体"/>
                <w:szCs w:val="21"/>
              </w:rPr>
              <w:t xml:space="preserve">□有效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基本有效    □效果欠佳，需要改进</w:t>
            </w:r>
          </w:p>
          <w:p>
            <w:r>
              <w:rPr>
                <w:rFonts w:hint="eastAsia"/>
              </w:rPr>
              <w:t>d）控制措施进行定期确认和验证：</w:t>
            </w:r>
            <w:r>
              <w:rPr>
                <w:rFonts w:hint="eastAsia" w:ascii="宋体" w:hAnsi="宋体"/>
                <w:szCs w:val="21"/>
              </w:rPr>
              <w:t xml:space="preserve">□有效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基本有效    □效果欠佳，需要改进；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宋体"/>
                <w:color w:val="0000FF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0000FF"/>
                <w:szCs w:val="21"/>
                <w:u w:val="single"/>
              </w:rPr>
              <w:t>通</w:t>
            </w:r>
            <w:r>
              <w:rPr>
                <w:rFonts w:hint="eastAsia" w:ascii="宋体" w:hAnsi="宋体"/>
                <w:color w:val="0000FF"/>
                <w:szCs w:val="21"/>
                <w:highlight w:val="none"/>
                <w:u w:val="single"/>
              </w:rPr>
              <w:t xml:space="preserve">过 </w:t>
            </w:r>
            <w:r>
              <w:rPr>
                <w:rFonts w:hint="eastAsia" w:ascii="宋体" w:hAnsi="宋体"/>
                <w:color w:val="0000FF"/>
                <w:szCs w:val="21"/>
                <w:highlight w:val="none"/>
                <w:u w:val="single"/>
                <w:lang w:val="en-US" w:eastAsia="zh-CN"/>
              </w:rPr>
              <w:t>2021-02-07对供应商评价和来料验收，烹饪加工过程控制，售饭过程控制等</w:t>
            </w:r>
            <w:r>
              <w:rPr>
                <w:rFonts w:hint="eastAsia" w:ascii="宋体" w:hAnsi="宋体"/>
                <w:color w:val="0000FF"/>
                <w:szCs w:val="21"/>
                <w:highlight w:val="none"/>
                <w:u w:val="single"/>
              </w:rPr>
              <w:t>方式进行控制。</w:t>
            </w:r>
          </w:p>
          <w:p/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9" w:type="dxa"/>
            <w:gridSpan w:val="3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食品</w:t>
            </w:r>
            <w:r>
              <w:rPr>
                <w:rFonts w:hint="eastAsia"/>
                <w:szCs w:val="21"/>
                <w:lang w:val="en-US" w:eastAsia="zh-CN"/>
              </w:rPr>
              <w:t>防护计划</w:t>
            </w:r>
          </w:p>
        </w:tc>
        <w:tc>
          <w:tcPr>
            <w:tcW w:w="93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rFonts w:hint="eastAsia"/>
                <w:szCs w:val="21"/>
                <w:lang w:val="en-US" w:eastAsia="zh-CN"/>
              </w:rPr>
              <w:t>7.3.3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/>
                <w:szCs w:val="21"/>
              </w:rPr>
              <w:t>食品</w:t>
            </w:r>
            <w:r>
              <w:rPr>
                <w:rFonts w:hint="eastAsia"/>
                <w:szCs w:val="21"/>
                <w:lang w:val="en-US" w:eastAsia="zh-CN"/>
              </w:rPr>
              <w:t>防护计划</w:t>
            </w:r>
            <w:r>
              <w:rPr>
                <w:rFonts w:hint="eastAsia" w:ascii="宋体" w:hAnsi="宋体"/>
                <w:szCs w:val="21"/>
              </w:rPr>
              <w:t>》</w:t>
            </w:r>
          </w:p>
        </w:tc>
        <w:tc>
          <w:tcPr>
            <w:tcW w:w="1585" w:type="dxa"/>
            <w:gridSpan w:val="3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179" w:type="dxa"/>
            <w:gridSpan w:val="3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人为的破坏或蓄意污染等造成的显著危害，应建立食品防护计划作为控制措施。</w:t>
            </w:r>
          </w:p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人为的破坏造成的显著危害：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 xml:space="preserve">有意损坏设备设施   </w:t>
            </w:r>
            <w:r>
              <w:rPr>
                <w:color w:val="0000FF"/>
                <w:u w:val="single"/>
              </w:rPr>
              <w:t xml:space="preserve">  </w:t>
            </w:r>
            <w:r>
              <w:rPr>
                <w:rFonts w:hint="eastAsia"/>
                <w:color w:val="0000FF"/>
              </w:rPr>
              <w:t>，控制措施</w:t>
            </w:r>
            <w:r>
              <w:rPr>
                <w:rFonts w:hint="eastAsia"/>
                <w:color w:val="0000FF"/>
                <w:u w:val="single"/>
              </w:rPr>
              <w:t xml:space="preserve">： 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搞好员工关系、杜绝不相关人员进入现场</w:t>
            </w:r>
            <w:r>
              <w:rPr>
                <w:color w:val="0000FF"/>
                <w:u w:val="single"/>
              </w:rPr>
              <w:t xml:space="preserve">        </w:t>
            </w:r>
          </w:p>
          <w:p>
            <w:r>
              <w:rPr>
                <w:rFonts w:hint="eastAsia"/>
                <w:color w:val="0000FF"/>
              </w:rPr>
              <w:t xml:space="preserve">蓄意污染造成的显著危害： 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/>
              </w:rPr>
              <w:t xml:space="preserve">   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投毒和故意使用非食用原材料</w:t>
            </w:r>
            <w:r>
              <w:rPr>
                <w:color w:val="0000FF"/>
                <w:u w:val="single"/>
              </w:rPr>
              <w:t xml:space="preserve">        </w:t>
            </w:r>
            <w:r>
              <w:rPr>
                <w:rFonts w:hint="eastAsia"/>
                <w:color w:val="0000FF"/>
              </w:rPr>
              <w:t>控制措施：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搞好员工关系、</w:t>
            </w:r>
            <w:r>
              <w:rPr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搞好有害化学品管理、</w:t>
            </w:r>
            <w:r>
              <w:rPr>
                <w:color w:val="0000FF"/>
                <w:u w:val="single"/>
              </w:rPr>
              <w:t xml:space="preserve">  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</w:tbl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5FA1A"/>
    <w:multiLevelType w:val="singleLevel"/>
    <w:tmpl w:val="BD15FA1A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2C5BA4AD"/>
    <w:multiLevelType w:val="singleLevel"/>
    <w:tmpl w:val="2C5BA4A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126B5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42C70"/>
    <w:rsid w:val="004724DC"/>
    <w:rsid w:val="0048201E"/>
    <w:rsid w:val="00482739"/>
    <w:rsid w:val="004F01AD"/>
    <w:rsid w:val="00536930"/>
    <w:rsid w:val="00553344"/>
    <w:rsid w:val="00564E53"/>
    <w:rsid w:val="005B4176"/>
    <w:rsid w:val="005D5659"/>
    <w:rsid w:val="00600C20"/>
    <w:rsid w:val="00644FE2"/>
    <w:rsid w:val="00654D21"/>
    <w:rsid w:val="0067640C"/>
    <w:rsid w:val="006E678B"/>
    <w:rsid w:val="006E7B1D"/>
    <w:rsid w:val="007757F3"/>
    <w:rsid w:val="007C1B48"/>
    <w:rsid w:val="007E3B15"/>
    <w:rsid w:val="007E6AEB"/>
    <w:rsid w:val="008973EE"/>
    <w:rsid w:val="00947553"/>
    <w:rsid w:val="00971600"/>
    <w:rsid w:val="009973B4"/>
    <w:rsid w:val="009C28C1"/>
    <w:rsid w:val="009F7EED"/>
    <w:rsid w:val="00A80636"/>
    <w:rsid w:val="00AE46F3"/>
    <w:rsid w:val="00AF0AAB"/>
    <w:rsid w:val="00BF597E"/>
    <w:rsid w:val="00C33819"/>
    <w:rsid w:val="00C51A36"/>
    <w:rsid w:val="00C55228"/>
    <w:rsid w:val="00C620CE"/>
    <w:rsid w:val="00C63768"/>
    <w:rsid w:val="00C77034"/>
    <w:rsid w:val="00CE315A"/>
    <w:rsid w:val="00D06F59"/>
    <w:rsid w:val="00D8388C"/>
    <w:rsid w:val="00DE7B56"/>
    <w:rsid w:val="00E6224C"/>
    <w:rsid w:val="00EA37D1"/>
    <w:rsid w:val="00EB0164"/>
    <w:rsid w:val="00ED0F62"/>
    <w:rsid w:val="00F51DFC"/>
    <w:rsid w:val="01260C71"/>
    <w:rsid w:val="0148246F"/>
    <w:rsid w:val="01B97AED"/>
    <w:rsid w:val="01BB3069"/>
    <w:rsid w:val="01CE4435"/>
    <w:rsid w:val="01E27364"/>
    <w:rsid w:val="01F72228"/>
    <w:rsid w:val="021B462B"/>
    <w:rsid w:val="02203F02"/>
    <w:rsid w:val="0228580F"/>
    <w:rsid w:val="026A697D"/>
    <w:rsid w:val="028120F9"/>
    <w:rsid w:val="02C41A3B"/>
    <w:rsid w:val="02C75A20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405614C"/>
    <w:rsid w:val="042332AF"/>
    <w:rsid w:val="044125D6"/>
    <w:rsid w:val="0441326A"/>
    <w:rsid w:val="04414625"/>
    <w:rsid w:val="04693C8A"/>
    <w:rsid w:val="04883DB3"/>
    <w:rsid w:val="04981EC9"/>
    <w:rsid w:val="04C420B7"/>
    <w:rsid w:val="04FC0469"/>
    <w:rsid w:val="050D3D1E"/>
    <w:rsid w:val="05322678"/>
    <w:rsid w:val="05422E8D"/>
    <w:rsid w:val="056577F0"/>
    <w:rsid w:val="05692040"/>
    <w:rsid w:val="05705C5F"/>
    <w:rsid w:val="059C20C3"/>
    <w:rsid w:val="05A05014"/>
    <w:rsid w:val="05F6270F"/>
    <w:rsid w:val="0605101B"/>
    <w:rsid w:val="06120F24"/>
    <w:rsid w:val="0618393F"/>
    <w:rsid w:val="061B4460"/>
    <w:rsid w:val="06406560"/>
    <w:rsid w:val="067B702D"/>
    <w:rsid w:val="06994A8D"/>
    <w:rsid w:val="06AA7E97"/>
    <w:rsid w:val="06ED612A"/>
    <w:rsid w:val="06F60CE4"/>
    <w:rsid w:val="0700448C"/>
    <w:rsid w:val="071261A2"/>
    <w:rsid w:val="07A12A9F"/>
    <w:rsid w:val="07A565CE"/>
    <w:rsid w:val="07C13D29"/>
    <w:rsid w:val="07ED0401"/>
    <w:rsid w:val="07EF616D"/>
    <w:rsid w:val="07F5731B"/>
    <w:rsid w:val="081B6228"/>
    <w:rsid w:val="083339D6"/>
    <w:rsid w:val="08767210"/>
    <w:rsid w:val="0884117F"/>
    <w:rsid w:val="08851DD7"/>
    <w:rsid w:val="08A65A0B"/>
    <w:rsid w:val="08C22483"/>
    <w:rsid w:val="08ED1EE8"/>
    <w:rsid w:val="09005957"/>
    <w:rsid w:val="09621B67"/>
    <w:rsid w:val="096333C5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4D2BD0"/>
    <w:rsid w:val="0B8E28C6"/>
    <w:rsid w:val="0BCE544E"/>
    <w:rsid w:val="0BE64DFF"/>
    <w:rsid w:val="0C466D6D"/>
    <w:rsid w:val="0C5423F7"/>
    <w:rsid w:val="0C575FF6"/>
    <w:rsid w:val="0C8009B8"/>
    <w:rsid w:val="0C842FD4"/>
    <w:rsid w:val="0CA27A29"/>
    <w:rsid w:val="0CC102DA"/>
    <w:rsid w:val="0CC85F41"/>
    <w:rsid w:val="0CC87248"/>
    <w:rsid w:val="0CD5463E"/>
    <w:rsid w:val="0CE43FF6"/>
    <w:rsid w:val="0CE57F67"/>
    <w:rsid w:val="0CEB516B"/>
    <w:rsid w:val="0D0D1D0A"/>
    <w:rsid w:val="0D181113"/>
    <w:rsid w:val="0D1E4D9B"/>
    <w:rsid w:val="0D4D1326"/>
    <w:rsid w:val="0D6A2C36"/>
    <w:rsid w:val="0D7B34FF"/>
    <w:rsid w:val="0DB35CC0"/>
    <w:rsid w:val="0DD9585D"/>
    <w:rsid w:val="0E306F6C"/>
    <w:rsid w:val="0E49595F"/>
    <w:rsid w:val="0E4C35DF"/>
    <w:rsid w:val="0E5927F2"/>
    <w:rsid w:val="0E6D4117"/>
    <w:rsid w:val="0EA43140"/>
    <w:rsid w:val="0EA50415"/>
    <w:rsid w:val="0EB8524B"/>
    <w:rsid w:val="0EB8667B"/>
    <w:rsid w:val="0ECE0C57"/>
    <w:rsid w:val="0F553CC8"/>
    <w:rsid w:val="0F86648B"/>
    <w:rsid w:val="0FBB3782"/>
    <w:rsid w:val="0FDE4D72"/>
    <w:rsid w:val="0FFA42BF"/>
    <w:rsid w:val="100B6D7F"/>
    <w:rsid w:val="100D075A"/>
    <w:rsid w:val="1055343B"/>
    <w:rsid w:val="106A3497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1323807"/>
    <w:rsid w:val="113F6014"/>
    <w:rsid w:val="11536201"/>
    <w:rsid w:val="115D3DB9"/>
    <w:rsid w:val="11BD2BE2"/>
    <w:rsid w:val="11BE2038"/>
    <w:rsid w:val="11C40475"/>
    <w:rsid w:val="11DC0AC4"/>
    <w:rsid w:val="11E2439D"/>
    <w:rsid w:val="121A66AF"/>
    <w:rsid w:val="123928D6"/>
    <w:rsid w:val="12563B2D"/>
    <w:rsid w:val="126207EB"/>
    <w:rsid w:val="12A2571D"/>
    <w:rsid w:val="12A42EA7"/>
    <w:rsid w:val="12A506D3"/>
    <w:rsid w:val="12BA01F9"/>
    <w:rsid w:val="12FE24F4"/>
    <w:rsid w:val="131C6135"/>
    <w:rsid w:val="13296CDD"/>
    <w:rsid w:val="133370C5"/>
    <w:rsid w:val="134E7573"/>
    <w:rsid w:val="13641F47"/>
    <w:rsid w:val="13890C2B"/>
    <w:rsid w:val="139E437B"/>
    <w:rsid w:val="13A420AC"/>
    <w:rsid w:val="13C11723"/>
    <w:rsid w:val="13DB5CFA"/>
    <w:rsid w:val="13EB79B2"/>
    <w:rsid w:val="13F05B29"/>
    <w:rsid w:val="13FF2186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05218A"/>
    <w:rsid w:val="151414F9"/>
    <w:rsid w:val="154C7AB0"/>
    <w:rsid w:val="15597511"/>
    <w:rsid w:val="155F4281"/>
    <w:rsid w:val="156F663C"/>
    <w:rsid w:val="15B265C1"/>
    <w:rsid w:val="15B5072B"/>
    <w:rsid w:val="15BC540D"/>
    <w:rsid w:val="160D3D01"/>
    <w:rsid w:val="16210B83"/>
    <w:rsid w:val="16583F2B"/>
    <w:rsid w:val="1659703F"/>
    <w:rsid w:val="16A30791"/>
    <w:rsid w:val="16AB3CAD"/>
    <w:rsid w:val="16E341B9"/>
    <w:rsid w:val="16F10A78"/>
    <w:rsid w:val="17104646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247CB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E03EA"/>
    <w:rsid w:val="198F29B9"/>
    <w:rsid w:val="19A86669"/>
    <w:rsid w:val="19C75256"/>
    <w:rsid w:val="19D74BC7"/>
    <w:rsid w:val="19D961EB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CF1254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392A3A"/>
    <w:rsid w:val="1C683E38"/>
    <w:rsid w:val="1CB1322F"/>
    <w:rsid w:val="1CEB1474"/>
    <w:rsid w:val="1CF3399B"/>
    <w:rsid w:val="1CFD2AFE"/>
    <w:rsid w:val="1D0B42B9"/>
    <w:rsid w:val="1D4D4A00"/>
    <w:rsid w:val="1D7E4D3F"/>
    <w:rsid w:val="1DAE3E96"/>
    <w:rsid w:val="1DC4038A"/>
    <w:rsid w:val="1DE30E61"/>
    <w:rsid w:val="1DE72E6D"/>
    <w:rsid w:val="1DF36090"/>
    <w:rsid w:val="1DFE25B1"/>
    <w:rsid w:val="1E1A7AD5"/>
    <w:rsid w:val="1E1B241E"/>
    <w:rsid w:val="1E34711A"/>
    <w:rsid w:val="1E3D6E5E"/>
    <w:rsid w:val="1E511FFA"/>
    <w:rsid w:val="1E675439"/>
    <w:rsid w:val="1E6B0815"/>
    <w:rsid w:val="1E752FA2"/>
    <w:rsid w:val="1E846B0F"/>
    <w:rsid w:val="1E8A1FBA"/>
    <w:rsid w:val="1ED9609A"/>
    <w:rsid w:val="1EF77273"/>
    <w:rsid w:val="1F0756AB"/>
    <w:rsid w:val="1F1B65D5"/>
    <w:rsid w:val="1F35289F"/>
    <w:rsid w:val="1F4E73A5"/>
    <w:rsid w:val="1F61098D"/>
    <w:rsid w:val="1F752242"/>
    <w:rsid w:val="1F756527"/>
    <w:rsid w:val="1F7F0170"/>
    <w:rsid w:val="1F8E0A45"/>
    <w:rsid w:val="1FAB395F"/>
    <w:rsid w:val="1FB41974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618E4"/>
    <w:rsid w:val="207644C2"/>
    <w:rsid w:val="20A511F6"/>
    <w:rsid w:val="20A856C1"/>
    <w:rsid w:val="20BE1D38"/>
    <w:rsid w:val="20CD6F91"/>
    <w:rsid w:val="20E1795A"/>
    <w:rsid w:val="20FC30A5"/>
    <w:rsid w:val="21A07B88"/>
    <w:rsid w:val="21A34258"/>
    <w:rsid w:val="21A576DD"/>
    <w:rsid w:val="21B31BF6"/>
    <w:rsid w:val="21D24208"/>
    <w:rsid w:val="21E11F3F"/>
    <w:rsid w:val="2237175D"/>
    <w:rsid w:val="226B2F60"/>
    <w:rsid w:val="22813299"/>
    <w:rsid w:val="229F2D1A"/>
    <w:rsid w:val="23363714"/>
    <w:rsid w:val="23461CA8"/>
    <w:rsid w:val="238A1BAA"/>
    <w:rsid w:val="23900E62"/>
    <w:rsid w:val="23BF3886"/>
    <w:rsid w:val="23CC720A"/>
    <w:rsid w:val="241A6B34"/>
    <w:rsid w:val="24285E2F"/>
    <w:rsid w:val="242A7B69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0B2546"/>
    <w:rsid w:val="2519537A"/>
    <w:rsid w:val="258041F6"/>
    <w:rsid w:val="258609CC"/>
    <w:rsid w:val="25B809C4"/>
    <w:rsid w:val="25E40E30"/>
    <w:rsid w:val="25ED68F6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A70039"/>
    <w:rsid w:val="27CF15FE"/>
    <w:rsid w:val="27D42EE9"/>
    <w:rsid w:val="27E10A81"/>
    <w:rsid w:val="27FE6486"/>
    <w:rsid w:val="28054BC5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11264A"/>
    <w:rsid w:val="2A1E7389"/>
    <w:rsid w:val="2A3A6E77"/>
    <w:rsid w:val="2A4311FB"/>
    <w:rsid w:val="2A570814"/>
    <w:rsid w:val="2A85024C"/>
    <w:rsid w:val="2AA86BA1"/>
    <w:rsid w:val="2ABD2BAD"/>
    <w:rsid w:val="2AC8327F"/>
    <w:rsid w:val="2AD3142C"/>
    <w:rsid w:val="2B0D2F04"/>
    <w:rsid w:val="2B1D2572"/>
    <w:rsid w:val="2B206A2D"/>
    <w:rsid w:val="2B3708E7"/>
    <w:rsid w:val="2B492E1A"/>
    <w:rsid w:val="2B4C1179"/>
    <w:rsid w:val="2B5D0EFC"/>
    <w:rsid w:val="2B6C36BA"/>
    <w:rsid w:val="2B7B0583"/>
    <w:rsid w:val="2BD60481"/>
    <w:rsid w:val="2BE40375"/>
    <w:rsid w:val="2BEA3FA7"/>
    <w:rsid w:val="2BFE5B20"/>
    <w:rsid w:val="2C2E44D4"/>
    <w:rsid w:val="2C486A96"/>
    <w:rsid w:val="2C6D435A"/>
    <w:rsid w:val="2C7B6C71"/>
    <w:rsid w:val="2CD6127D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E76EE7"/>
    <w:rsid w:val="2DFF79D8"/>
    <w:rsid w:val="2E367C56"/>
    <w:rsid w:val="2E440885"/>
    <w:rsid w:val="2E4875EB"/>
    <w:rsid w:val="2EEE512C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945277"/>
    <w:rsid w:val="30C1548B"/>
    <w:rsid w:val="30C36ECA"/>
    <w:rsid w:val="30C71DD4"/>
    <w:rsid w:val="30D974AD"/>
    <w:rsid w:val="30DC7CB1"/>
    <w:rsid w:val="30DD7792"/>
    <w:rsid w:val="30ED30CC"/>
    <w:rsid w:val="31064141"/>
    <w:rsid w:val="316C22BD"/>
    <w:rsid w:val="31B477DB"/>
    <w:rsid w:val="31B67BE2"/>
    <w:rsid w:val="31CA71DD"/>
    <w:rsid w:val="32341738"/>
    <w:rsid w:val="324D055C"/>
    <w:rsid w:val="324E5138"/>
    <w:rsid w:val="325E1B93"/>
    <w:rsid w:val="32C70BAE"/>
    <w:rsid w:val="32D06D58"/>
    <w:rsid w:val="331E21CE"/>
    <w:rsid w:val="332B6F8B"/>
    <w:rsid w:val="33424DF8"/>
    <w:rsid w:val="33562A0D"/>
    <w:rsid w:val="335C55FD"/>
    <w:rsid w:val="33715F28"/>
    <w:rsid w:val="33F07155"/>
    <w:rsid w:val="340C6245"/>
    <w:rsid w:val="34113C74"/>
    <w:rsid w:val="34240248"/>
    <w:rsid w:val="343C4522"/>
    <w:rsid w:val="345E0C87"/>
    <w:rsid w:val="347A0336"/>
    <w:rsid w:val="348376B7"/>
    <w:rsid w:val="34B53587"/>
    <w:rsid w:val="34F92D63"/>
    <w:rsid w:val="35527F1F"/>
    <w:rsid w:val="35623E6F"/>
    <w:rsid w:val="35754D97"/>
    <w:rsid w:val="357914C0"/>
    <w:rsid w:val="35994264"/>
    <w:rsid w:val="35D721CD"/>
    <w:rsid w:val="36174333"/>
    <w:rsid w:val="3623081B"/>
    <w:rsid w:val="362B5212"/>
    <w:rsid w:val="3640586E"/>
    <w:rsid w:val="364A3F09"/>
    <w:rsid w:val="367A501B"/>
    <w:rsid w:val="369E57D4"/>
    <w:rsid w:val="36C137D0"/>
    <w:rsid w:val="36C91110"/>
    <w:rsid w:val="36EA4486"/>
    <w:rsid w:val="36F725C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A539F"/>
    <w:rsid w:val="38B37216"/>
    <w:rsid w:val="38BD5C7F"/>
    <w:rsid w:val="38C5580C"/>
    <w:rsid w:val="38EC325F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4F0F90"/>
    <w:rsid w:val="3A5573DE"/>
    <w:rsid w:val="3AAB1306"/>
    <w:rsid w:val="3ABD0173"/>
    <w:rsid w:val="3AC172FF"/>
    <w:rsid w:val="3ACE23E2"/>
    <w:rsid w:val="3ADD35A8"/>
    <w:rsid w:val="3B0D014A"/>
    <w:rsid w:val="3B227AA7"/>
    <w:rsid w:val="3B4241C0"/>
    <w:rsid w:val="3B556BCC"/>
    <w:rsid w:val="3B5F0280"/>
    <w:rsid w:val="3BAB4C5D"/>
    <w:rsid w:val="3BEE1D6F"/>
    <w:rsid w:val="3BF1473C"/>
    <w:rsid w:val="3C543264"/>
    <w:rsid w:val="3C5C5688"/>
    <w:rsid w:val="3CA475E5"/>
    <w:rsid w:val="3CA717F2"/>
    <w:rsid w:val="3CC445CD"/>
    <w:rsid w:val="3CC56579"/>
    <w:rsid w:val="3CED4B6C"/>
    <w:rsid w:val="3D073283"/>
    <w:rsid w:val="3D471346"/>
    <w:rsid w:val="3DAB460B"/>
    <w:rsid w:val="3DDA7DB2"/>
    <w:rsid w:val="3DE86112"/>
    <w:rsid w:val="3DF63C72"/>
    <w:rsid w:val="3E342793"/>
    <w:rsid w:val="3E3C5235"/>
    <w:rsid w:val="3E3F2B53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0251EC"/>
    <w:rsid w:val="410C3893"/>
    <w:rsid w:val="41342A6B"/>
    <w:rsid w:val="413D2B71"/>
    <w:rsid w:val="414C7183"/>
    <w:rsid w:val="41523250"/>
    <w:rsid w:val="41685C01"/>
    <w:rsid w:val="418D501C"/>
    <w:rsid w:val="41D557CA"/>
    <w:rsid w:val="41DF62BB"/>
    <w:rsid w:val="41E9167B"/>
    <w:rsid w:val="41EE6927"/>
    <w:rsid w:val="420F7024"/>
    <w:rsid w:val="423A05B2"/>
    <w:rsid w:val="423C5247"/>
    <w:rsid w:val="423E693C"/>
    <w:rsid w:val="42416B50"/>
    <w:rsid w:val="424465AD"/>
    <w:rsid w:val="424D023F"/>
    <w:rsid w:val="42541DDE"/>
    <w:rsid w:val="4262379E"/>
    <w:rsid w:val="427A1188"/>
    <w:rsid w:val="42942F0B"/>
    <w:rsid w:val="42C26D29"/>
    <w:rsid w:val="432A5E11"/>
    <w:rsid w:val="433B1167"/>
    <w:rsid w:val="4352128B"/>
    <w:rsid w:val="435F500F"/>
    <w:rsid w:val="43C730CD"/>
    <w:rsid w:val="43CF2854"/>
    <w:rsid w:val="44087BCA"/>
    <w:rsid w:val="44350F69"/>
    <w:rsid w:val="44A527AB"/>
    <w:rsid w:val="44A567F5"/>
    <w:rsid w:val="452271AE"/>
    <w:rsid w:val="453B1EBC"/>
    <w:rsid w:val="45635AEC"/>
    <w:rsid w:val="45A90F07"/>
    <w:rsid w:val="45BA54FA"/>
    <w:rsid w:val="45C810D7"/>
    <w:rsid w:val="45EC74A5"/>
    <w:rsid w:val="45FA6B69"/>
    <w:rsid w:val="460414DD"/>
    <w:rsid w:val="46114E42"/>
    <w:rsid w:val="46332B60"/>
    <w:rsid w:val="4654705C"/>
    <w:rsid w:val="466B2E70"/>
    <w:rsid w:val="468D2C1F"/>
    <w:rsid w:val="468D3CA5"/>
    <w:rsid w:val="46A51AB4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DA35BF"/>
    <w:rsid w:val="48ED577E"/>
    <w:rsid w:val="48FB3C39"/>
    <w:rsid w:val="495D1E4B"/>
    <w:rsid w:val="49912790"/>
    <w:rsid w:val="49924247"/>
    <w:rsid w:val="49C0281D"/>
    <w:rsid w:val="49E3211A"/>
    <w:rsid w:val="49E449BF"/>
    <w:rsid w:val="49E82D09"/>
    <w:rsid w:val="49EC77B8"/>
    <w:rsid w:val="49ED5B1C"/>
    <w:rsid w:val="4A8610DE"/>
    <w:rsid w:val="4AD45EF1"/>
    <w:rsid w:val="4AE04A18"/>
    <w:rsid w:val="4B1401ED"/>
    <w:rsid w:val="4B337454"/>
    <w:rsid w:val="4B407CC6"/>
    <w:rsid w:val="4B42232B"/>
    <w:rsid w:val="4B825A76"/>
    <w:rsid w:val="4B8269B9"/>
    <w:rsid w:val="4B86007D"/>
    <w:rsid w:val="4B8B3702"/>
    <w:rsid w:val="4B9B0D7E"/>
    <w:rsid w:val="4BC83B65"/>
    <w:rsid w:val="4BCF6DA3"/>
    <w:rsid w:val="4BDE2971"/>
    <w:rsid w:val="4BEF731F"/>
    <w:rsid w:val="4C0C3B65"/>
    <w:rsid w:val="4C204239"/>
    <w:rsid w:val="4C247C80"/>
    <w:rsid w:val="4C92412F"/>
    <w:rsid w:val="4CA74E41"/>
    <w:rsid w:val="4CA91B51"/>
    <w:rsid w:val="4CB62537"/>
    <w:rsid w:val="4CD2365B"/>
    <w:rsid w:val="4D0F484F"/>
    <w:rsid w:val="4D352804"/>
    <w:rsid w:val="4D374D03"/>
    <w:rsid w:val="4D4D529E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C5E44"/>
    <w:rsid w:val="4E732061"/>
    <w:rsid w:val="4E7774D0"/>
    <w:rsid w:val="4EAA463D"/>
    <w:rsid w:val="4EFE4539"/>
    <w:rsid w:val="4F594843"/>
    <w:rsid w:val="4F88590D"/>
    <w:rsid w:val="503C3BCC"/>
    <w:rsid w:val="50C41CF1"/>
    <w:rsid w:val="50F01F62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0F50CC"/>
    <w:rsid w:val="531F2139"/>
    <w:rsid w:val="53261795"/>
    <w:rsid w:val="534F62F7"/>
    <w:rsid w:val="53660E02"/>
    <w:rsid w:val="536F60C1"/>
    <w:rsid w:val="53953BE7"/>
    <w:rsid w:val="53DB2F56"/>
    <w:rsid w:val="53F51637"/>
    <w:rsid w:val="54041CD4"/>
    <w:rsid w:val="54124FEF"/>
    <w:rsid w:val="541C4B67"/>
    <w:rsid w:val="5424325D"/>
    <w:rsid w:val="550429BE"/>
    <w:rsid w:val="552A2893"/>
    <w:rsid w:val="55417660"/>
    <w:rsid w:val="55436287"/>
    <w:rsid w:val="556B045B"/>
    <w:rsid w:val="557D4E77"/>
    <w:rsid w:val="55C375DD"/>
    <w:rsid w:val="56156439"/>
    <w:rsid w:val="562716F5"/>
    <w:rsid w:val="56643532"/>
    <w:rsid w:val="56865BD8"/>
    <w:rsid w:val="568B5A7B"/>
    <w:rsid w:val="56997281"/>
    <w:rsid w:val="56C41BCC"/>
    <w:rsid w:val="570A6E63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A14CB5"/>
    <w:rsid w:val="57AF0FF1"/>
    <w:rsid w:val="57F55B90"/>
    <w:rsid w:val="580950F1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90D059A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41F17"/>
    <w:rsid w:val="5A407674"/>
    <w:rsid w:val="5A432974"/>
    <w:rsid w:val="5A67161C"/>
    <w:rsid w:val="5A6A20C5"/>
    <w:rsid w:val="5A851102"/>
    <w:rsid w:val="5AD64AF2"/>
    <w:rsid w:val="5AF377C8"/>
    <w:rsid w:val="5B0449BC"/>
    <w:rsid w:val="5B513157"/>
    <w:rsid w:val="5B517209"/>
    <w:rsid w:val="5B544EB3"/>
    <w:rsid w:val="5B6A33DD"/>
    <w:rsid w:val="5B7C5AEB"/>
    <w:rsid w:val="5BA144BF"/>
    <w:rsid w:val="5BD84182"/>
    <w:rsid w:val="5BF04FFA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A67CA3"/>
    <w:rsid w:val="5DBF6011"/>
    <w:rsid w:val="5DC13CCC"/>
    <w:rsid w:val="5DC55564"/>
    <w:rsid w:val="5DDA5570"/>
    <w:rsid w:val="5DE86882"/>
    <w:rsid w:val="5E01254D"/>
    <w:rsid w:val="5E0D6E91"/>
    <w:rsid w:val="5E1D75C7"/>
    <w:rsid w:val="5E264AF8"/>
    <w:rsid w:val="5E3B413F"/>
    <w:rsid w:val="5E7B5BB1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5FEE3CFF"/>
    <w:rsid w:val="6018182B"/>
    <w:rsid w:val="601E0F43"/>
    <w:rsid w:val="60250281"/>
    <w:rsid w:val="60321D44"/>
    <w:rsid w:val="60596F8D"/>
    <w:rsid w:val="607E12CC"/>
    <w:rsid w:val="608075E1"/>
    <w:rsid w:val="60E47C4C"/>
    <w:rsid w:val="60E60A17"/>
    <w:rsid w:val="61326FB1"/>
    <w:rsid w:val="61384C31"/>
    <w:rsid w:val="61387C98"/>
    <w:rsid w:val="61744854"/>
    <w:rsid w:val="61857CB5"/>
    <w:rsid w:val="618F58DC"/>
    <w:rsid w:val="619A179D"/>
    <w:rsid w:val="61E77A7E"/>
    <w:rsid w:val="62257ECD"/>
    <w:rsid w:val="622A4138"/>
    <w:rsid w:val="62385483"/>
    <w:rsid w:val="62385A6C"/>
    <w:rsid w:val="625901DA"/>
    <w:rsid w:val="62795257"/>
    <w:rsid w:val="62876D77"/>
    <w:rsid w:val="62CA4AF4"/>
    <w:rsid w:val="62DF6E12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370B"/>
    <w:rsid w:val="64106CE7"/>
    <w:rsid w:val="64621F9C"/>
    <w:rsid w:val="649C75C9"/>
    <w:rsid w:val="64A537DD"/>
    <w:rsid w:val="64B51DAE"/>
    <w:rsid w:val="64B62A61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F429F0"/>
    <w:rsid w:val="65F4344F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1B3F7A"/>
    <w:rsid w:val="68233428"/>
    <w:rsid w:val="68291784"/>
    <w:rsid w:val="6847289A"/>
    <w:rsid w:val="68494570"/>
    <w:rsid w:val="68746C8D"/>
    <w:rsid w:val="687C35AE"/>
    <w:rsid w:val="689D7548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A692A"/>
    <w:rsid w:val="699E5999"/>
    <w:rsid w:val="69B35A0D"/>
    <w:rsid w:val="69CC607C"/>
    <w:rsid w:val="69EA1163"/>
    <w:rsid w:val="69F96768"/>
    <w:rsid w:val="6A176492"/>
    <w:rsid w:val="6A287F98"/>
    <w:rsid w:val="6A617707"/>
    <w:rsid w:val="6A657B3D"/>
    <w:rsid w:val="6A886720"/>
    <w:rsid w:val="6AB40496"/>
    <w:rsid w:val="6ABD1D5E"/>
    <w:rsid w:val="6AC0289E"/>
    <w:rsid w:val="6AF33939"/>
    <w:rsid w:val="6B0F60AF"/>
    <w:rsid w:val="6B795D62"/>
    <w:rsid w:val="6B894EA4"/>
    <w:rsid w:val="6B981EF4"/>
    <w:rsid w:val="6BC747F5"/>
    <w:rsid w:val="6BD35CE4"/>
    <w:rsid w:val="6BF1529E"/>
    <w:rsid w:val="6BF66D35"/>
    <w:rsid w:val="6C1272FC"/>
    <w:rsid w:val="6C3014BE"/>
    <w:rsid w:val="6C38001D"/>
    <w:rsid w:val="6C5D414F"/>
    <w:rsid w:val="6C77423E"/>
    <w:rsid w:val="6C9C2F85"/>
    <w:rsid w:val="6C9D6944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9C0847"/>
    <w:rsid w:val="6EB36C33"/>
    <w:rsid w:val="6EBD0EA6"/>
    <w:rsid w:val="6EBF38BA"/>
    <w:rsid w:val="6ED70A72"/>
    <w:rsid w:val="6F2E7208"/>
    <w:rsid w:val="6F435405"/>
    <w:rsid w:val="6F4810D8"/>
    <w:rsid w:val="6F6D2BAA"/>
    <w:rsid w:val="6F7C3054"/>
    <w:rsid w:val="6F992A5F"/>
    <w:rsid w:val="6F9A4A47"/>
    <w:rsid w:val="6FDC792B"/>
    <w:rsid w:val="701310D6"/>
    <w:rsid w:val="701710D0"/>
    <w:rsid w:val="702520EE"/>
    <w:rsid w:val="703777AC"/>
    <w:rsid w:val="70795456"/>
    <w:rsid w:val="707E2BAC"/>
    <w:rsid w:val="709946EC"/>
    <w:rsid w:val="70FF4497"/>
    <w:rsid w:val="71C9027A"/>
    <w:rsid w:val="71D22F66"/>
    <w:rsid w:val="724D262A"/>
    <w:rsid w:val="72702455"/>
    <w:rsid w:val="728F2E47"/>
    <w:rsid w:val="72973011"/>
    <w:rsid w:val="72CD6505"/>
    <w:rsid w:val="72E25592"/>
    <w:rsid w:val="72E42D1B"/>
    <w:rsid w:val="72EA2DD0"/>
    <w:rsid w:val="730C52E1"/>
    <w:rsid w:val="734F0911"/>
    <w:rsid w:val="736054C4"/>
    <w:rsid w:val="736C572D"/>
    <w:rsid w:val="738E79E4"/>
    <w:rsid w:val="73A422EB"/>
    <w:rsid w:val="73C80EF6"/>
    <w:rsid w:val="73D74043"/>
    <w:rsid w:val="73E67F55"/>
    <w:rsid w:val="73FD5384"/>
    <w:rsid w:val="74103E55"/>
    <w:rsid w:val="74456E15"/>
    <w:rsid w:val="745B622A"/>
    <w:rsid w:val="753E2D2E"/>
    <w:rsid w:val="753F2F7D"/>
    <w:rsid w:val="75A744DB"/>
    <w:rsid w:val="75CD0955"/>
    <w:rsid w:val="75DB13A5"/>
    <w:rsid w:val="75E552E3"/>
    <w:rsid w:val="76190159"/>
    <w:rsid w:val="76346E4E"/>
    <w:rsid w:val="7648538B"/>
    <w:rsid w:val="76531223"/>
    <w:rsid w:val="76640645"/>
    <w:rsid w:val="767E47F6"/>
    <w:rsid w:val="7692158A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557FA3"/>
    <w:rsid w:val="78644FBF"/>
    <w:rsid w:val="78680ECD"/>
    <w:rsid w:val="787F150D"/>
    <w:rsid w:val="787F4828"/>
    <w:rsid w:val="7880670B"/>
    <w:rsid w:val="789B60E9"/>
    <w:rsid w:val="78A42633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751C6"/>
    <w:rsid w:val="79BC4873"/>
    <w:rsid w:val="79D339B9"/>
    <w:rsid w:val="7A006295"/>
    <w:rsid w:val="7A196FEC"/>
    <w:rsid w:val="7A200C95"/>
    <w:rsid w:val="7A531881"/>
    <w:rsid w:val="7A594332"/>
    <w:rsid w:val="7A5B0BA8"/>
    <w:rsid w:val="7A8564DB"/>
    <w:rsid w:val="7A946C2F"/>
    <w:rsid w:val="7A9A559C"/>
    <w:rsid w:val="7AB76752"/>
    <w:rsid w:val="7AB935F2"/>
    <w:rsid w:val="7AC22B97"/>
    <w:rsid w:val="7ACD6F24"/>
    <w:rsid w:val="7AF6556E"/>
    <w:rsid w:val="7B1F77A4"/>
    <w:rsid w:val="7B292799"/>
    <w:rsid w:val="7B3F5420"/>
    <w:rsid w:val="7BCF2874"/>
    <w:rsid w:val="7C0471A6"/>
    <w:rsid w:val="7C090682"/>
    <w:rsid w:val="7C27141B"/>
    <w:rsid w:val="7C42064D"/>
    <w:rsid w:val="7C6A6CA8"/>
    <w:rsid w:val="7CB31FBB"/>
    <w:rsid w:val="7CEC5EE7"/>
    <w:rsid w:val="7CF04E00"/>
    <w:rsid w:val="7D0B459E"/>
    <w:rsid w:val="7D41026F"/>
    <w:rsid w:val="7D59343F"/>
    <w:rsid w:val="7D67119E"/>
    <w:rsid w:val="7D6C098F"/>
    <w:rsid w:val="7DA65D72"/>
    <w:rsid w:val="7DE208A3"/>
    <w:rsid w:val="7DFE7906"/>
    <w:rsid w:val="7E0A78B3"/>
    <w:rsid w:val="7E2912F3"/>
    <w:rsid w:val="7E6305EF"/>
    <w:rsid w:val="7E7D0E74"/>
    <w:rsid w:val="7E8D50F9"/>
    <w:rsid w:val="7E9B6096"/>
    <w:rsid w:val="7EBA6AA6"/>
    <w:rsid w:val="7ED713AA"/>
    <w:rsid w:val="7EDA5201"/>
    <w:rsid w:val="7EE7304B"/>
    <w:rsid w:val="7EEE63E6"/>
    <w:rsid w:val="7F541664"/>
    <w:rsid w:val="7F5737FE"/>
    <w:rsid w:val="7F697999"/>
    <w:rsid w:val="7F9026D0"/>
    <w:rsid w:val="7F984417"/>
    <w:rsid w:val="7FDB730C"/>
    <w:rsid w:val="7FDC7239"/>
    <w:rsid w:val="7FE41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4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1561</Words>
  <Characters>8904</Characters>
  <Lines>74</Lines>
  <Paragraphs>20</Paragraphs>
  <TotalTime>6</TotalTime>
  <ScaleCrop>false</ScaleCrop>
  <LinksUpToDate>false</LinksUpToDate>
  <CharactersWithSpaces>10445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2020-10-18T07:46:00Z</dcterms:created>
  <dc:creator>微软用户</dc:creator>
  <cp:lastModifiedBy>和为贵</cp:lastModifiedBy>
  <dcterms:modified xsi:type="dcterms:W3CDTF">2021-11-27T03:25:23Z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3A3763BC3AAC43C585A72AC767ACD8EC</vt:lpwstr>
  </property>
</Properties>
</file>