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河北</w:t>
            </w:r>
            <w:r>
              <w:rPr>
                <w:sz w:val="21"/>
                <w:szCs w:val="21"/>
              </w:rPr>
              <w:t>惠康餐饮管理有限公司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保定市竞秀区新市场街道办事处天鹅西路538号门脸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河北省保定市七一中路103号（学生三食堂）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承包中央司法警察学院食堂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安小琪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15103121650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1140192385@qq.com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</w:rPr>
            </w:pPr>
            <w:bookmarkStart w:id="4" w:name="最高管理者"/>
            <w:bookmarkEnd w:id="4"/>
            <w:r>
              <w:rPr>
                <w:rFonts w:hint="eastAsia" w:cs="Times New Roman" w:asciiTheme="minorEastAsia" w:hAnsiTheme="minorEastAsia" w:eastAsiaTheme="minorEastAsia"/>
                <w:sz w:val="20"/>
                <w:lang w:val="en-US" w:eastAsia="zh-CN"/>
              </w:rPr>
              <w:t>胡红亮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0867-2021-H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位于河北省保定市七一中路103号（学生三食堂）</w:t>
            </w:r>
            <w:r>
              <w:rPr>
                <w:rFonts w:hint="eastAsia"/>
                <w:sz w:val="20"/>
                <w:lang w:val="en-US" w:eastAsia="zh-CN"/>
              </w:rPr>
              <w:t>河北</w:t>
            </w:r>
            <w:r>
              <w:rPr>
                <w:sz w:val="20"/>
              </w:rPr>
              <w:t>惠康餐饮管理有限公司资质范围内的单位食堂热食类食品制售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E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2021年11月26日 上午至2021年11月27日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2021-N1HACCP-1232990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1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548DD4" w:themeColor="text2" w:themeTint="99"/>
                <w:sz w:val="18"/>
                <w:szCs w:val="18"/>
              </w:rPr>
              <w:t>第一天</w:t>
            </w:r>
          </w:p>
        </w:tc>
        <w:tc>
          <w:tcPr>
            <w:tcW w:w="13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A（现场）/B(远程）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09:00-1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0-12：30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</w:t>
            </w: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</w:t>
            </w:r>
            <w:r>
              <w:rPr>
                <w:bCs/>
                <w:sz w:val="21"/>
                <w:szCs w:val="21"/>
              </w:rPr>
              <w:t>1:</w:t>
            </w:r>
            <w:r>
              <w:rPr>
                <w:sz w:val="21"/>
                <w:szCs w:val="21"/>
              </w:rPr>
              <w:t>3/4/5/6/8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10:30-12:30</w:t>
            </w:r>
          </w:p>
        </w:tc>
        <w:tc>
          <w:tcPr>
            <w:tcW w:w="1370" w:type="dxa"/>
            <w:shd w:val="clear" w:color="auto" w:fill="EAF1DD" w:themeFill="accent3" w:themeFillTint="33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综合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EAF1DD" w:themeFill="accent3" w:themeFillTint="33"/>
            <w:vAlign w:val="top"/>
          </w:tcPr>
          <w:p>
            <w:pPr>
              <w:spacing w:after="4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人员健康管理、持证上岗人员、人员招聘、员工培训及有效性评价、</w:t>
            </w:r>
            <w:r>
              <w:rPr>
                <w:rFonts w:hint="eastAsia" w:ascii="宋体" w:hAnsi="宋体"/>
                <w:sz w:val="18"/>
                <w:szCs w:val="18"/>
              </w:rPr>
              <w:t>工作环境、内部审核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</w:p>
        </w:tc>
        <w:tc>
          <w:tcPr>
            <w:tcW w:w="2469" w:type="dxa"/>
            <w:shd w:val="clear" w:color="auto" w:fill="EAF1DD" w:themeFill="accent3" w:themeFillTint="3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H:4.2.3/4.2.4/5.2/5.3/5.4/5.5/6.2/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12：30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午餐</w:t>
            </w: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548DD4" w:themeColor="text2" w:themeTint="99"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13：00-1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：00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hint="eastAsia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管理部及现场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库房、后厨、大堂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基础设施、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工作环境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控制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/>
                <w:sz w:val="18"/>
                <w:szCs w:val="18"/>
                <w:u w:val="single"/>
              </w:rPr>
              <w:t>过程和产品的监视和测量、撤回/召回、应急准备和响应、食品添加剂管理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H:6.3/6.4/6.7.1/7.6/7.7/7.8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10:30-12:30</w:t>
            </w:r>
          </w:p>
        </w:tc>
        <w:tc>
          <w:tcPr>
            <w:tcW w:w="1370" w:type="dxa"/>
            <w:shd w:val="clear" w:color="auto" w:fill="EAF1DD" w:themeFill="accent3" w:themeFillTint="33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综合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办公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——继续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3038" w:type="dxa"/>
            <w:shd w:val="clear" w:color="auto" w:fill="EAF1DD" w:themeFill="accent3" w:themeFillTint="33"/>
            <w:vAlign w:val="top"/>
          </w:tcPr>
          <w:p>
            <w:pPr>
              <w:spacing w:after="4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人员健康管理、持证上岗人员、人员招聘、员工培训及有效性评价、</w:t>
            </w:r>
            <w:r>
              <w:rPr>
                <w:rFonts w:hint="eastAsia" w:ascii="宋体" w:hAnsi="宋体"/>
                <w:sz w:val="18"/>
                <w:szCs w:val="18"/>
              </w:rPr>
              <w:t>工作环境、内部审核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</w:p>
        </w:tc>
        <w:tc>
          <w:tcPr>
            <w:tcW w:w="2469" w:type="dxa"/>
            <w:shd w:val="clear" w:color="auto" w:fill="EAF1DD" w:themeFill="accent3" w:themeFillTint="3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H:4.2.3/4.2.4/5.2/5.3/5.4/6.2/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：00-1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AF1DD" w:themeFill="accent3" w:themeFillTint="33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第一天审核结（加班1小时）</w:t>
            </w:r>
          </w:p>
        </w:tc>
        <w:tc>
          <w:tcPr>
            <w:tcW w:w="2469" w:type="dxa"/>
            <w:shd w:val="clear" w:color="auto" w:fill="EAF1DD" w:themeFill="accent3" w:themeFillTint="33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AF1DD" w:themeFill="accent3" w:themeFillTint="3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第二天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8：25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A（现场）/B(远程）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08:30-1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：30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after="40"/>
              <w:rPr>
                <w:rFonts w:hint="eastAsia" w:ascii="宋体" w:hAnsi="宋体" w:eastAsia="宋体"/>
                <w:b/>
                <w:bCs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管理部</w:t>
            </w: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GMP,SSOP、原材料和包装材料保障计划的现场情况、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Times New Roman" w:hAnsi="Times New Roman" w:cs="Arial"/>
                <w:bCs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cs="Arial"/>
                <w:bCs/>
                <w:sz w:val="18"/>
                <w:szCs w:val="18"/>
                <w:lang w:val="en-US" w:eastAsia="zh-CN"/>
              </w:rPr>
              <w:t>HACCP 计划的确认和验证</w:t>
            </w:r>
          </w:p>
          <w:p>
            <w:pPr>
              <w:spacing w:after="40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469" w:type="dxa"/>
            <w:shd w:val="clear" w:color="auto" w:fill="EBF1DE" w:themeFill="accent3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H:6.3/6.4/6.5/6.6/6.7/7.6/7.7/7.8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08:</w:t>
            </w:r>
            <w:r>
              <w:rPr>
                <w:rFonts w:hint="eastAsia"/>
                <w:b/>
                <w:bCs/>
                <w:sz w:val="18"/>
                <w:szCs w:val="18"/>
              </w:rPr>
              <w:t>30-1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：30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jc w:val="lef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综合办公室（采购管理）</w:t>
            </w: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原材料和包装材料保障计划、食品欺诈和过敏原控制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 6.5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管理者代表</w:t>
            </w:r>
            <w:r>
              <w:rPr>
                <w:sz w:val="18"/>
                <w:szCs w:val="18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469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27D2D97"/>
    <w:rsid w:val="29D01228"/>
    <w:rsid w:val="2E9861D8"/>
    <w:rsid w:val="31D21127"/>
    <w:rsid w:val="369A72A7"/>
    <w:rsid w:val="37752C88"/>
    <w:rsid w:val="510A5D76"/>
    <w:rsid w:val="5C3D0C5F"/>
    <w:rsid w:val="5D4217D2"/>
    <w:rsid w:val="721101F2"/>
    <w:rsid w:val="738B0966"/>
    <w:rsid w:val="76EA32EC"/>
    <w:rsid w:val="7EC64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cp:lastPrinted>2021-11-23T03:26:00Z</cp:lastPrinted>
  <dcterms:modified xsi:type="dcterms:W3CDTF">2021-12-03T00:27:34Z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