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093"/>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3"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综合办</w:t>
            </w:r>
            <w:r>
              <w:rPr>
                <w:rFonts w:hint="eastAsia"/>
                <w:sz w:val="24"/>
                <w:szCs w:val="24"/>
              </w:rPr>
              <w:t xml:space="preserve"> </w:t>
            </w:r>
            <w:r>
              <w:rPr>
                <w:sz w:val="24"/>
                <w:szCs w:val="24"/>
              </w:rPr>
              <w:t xml:space="preserve">    </w:t>
            </w:r>
            <w:r>
              <w:rPr>
                <w:rFonts w:hint="eastAsia"/>
                <w:sz w:val="24"/>
                <w:szCs w:val="24"/>
                <w:lang w:val="en-US" w:eastAsia="zh-CN"/>
              </w:rPr>
              <w:t xml:space="preserve">      </w:t>
            </w:r>
            <w:r>
              <w:rPr>
                <w:rFonts w:hint="eastAsia"/>
                <w:sz w:val="24"/>
                <w:szCs w:val="24"/>
              </w:rPr>
              <w:t>主管领导：</w:t>
            </w:r>
            <w:r>
              <w:rPr>
                <w:rFonts w:hint="eastAsia"/>
                <w:sz w:val="24"/>
                <w:szCs w:val="24"/>
                <w:lang w:val="en-US" w:eastAsia="zh-CN"/>
              </w:rPr>
              <w:t>陈红秀</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李虎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伍光华</w:t>
            </w:r>
            <w:r>
              <w:rPr>
                <w:sz w:val="24"/>
                <w:szCs w:val="24"/>
              </w:rPr>
              <w:t xml:space="preserve">        </w:t>
            </w:r>
            <w:r>
              <w:rPr>
                <w:rFonts w:hint="eastAsia"/>
                <w:sz w:val="24"/>
                <w:szCs w:val="24"/>
              </w:rPr>
              <w:t>审核时间：</w:t>
            </w:r>
            <w:bookmarkStart w:id="0" w:name="审核日期"/>
            <w:r>
              <w:t>2021年10月16日 下午至2021年10月18日 上午</w:t>
            </w:r>
            <w:bookmarkEnd w:id="0"/>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Merge w:val="continue"/>
            <w:vAlign w:val="center"/>
          </w:tcPr>
          <w:p/>
        </w:tc>
        <w:tc>
          <w:tcPr>
            <w:tcW w:w="1093"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sz w:val="24"/>
                <w:szCs w:val="24"/>
                <w:lang w:val="en-US" w:eastAsia="zh-CN"/>
              </w:rPr>
            </w:pPr>
            <w:r>
              <w:rPr>
                <w:rFonts w:hint="eastAsia"/>
                <w:sz w:val="24"/>
                <w:szCs w:val="24"/>
                <w:lang w:val="en-US" w:eastAsia="zh-CN"/>
              </w:rPr>
              <w:t>审核条款：</w:t>
            </w:r>
          </w:p>
          <w:p>
            <w:pPr>
              <w:spacing w:line="280" w:lineRule="exact"/>
              <w:rPr>
                <w:rFonts w:hint="eastAsia" w:cs="Arial" w:asciiTheme="minorEastAsia" w:hAnsiTheme="minorEastAsia" w:eastAsiaTheme="minorEastAsia"/>
                <w:sz w:val="21"/>
                <w:szCs w:val="21"/>
                <w:lang w:val="en-US" w:eastAsia="zh-CN"/>
              </w:rPr>
            </w:pPr>
            <w:r>
              <w:rPr>
                <w:rFonts w:ascii="宋体" w:hAnsi="宋体" w:cs="Arial"/>
                <w:sz w:val="21"/>
                <w:szCs w:val="21"/>
              </w:rPr>
              <w:t>QMS: 5.3</w:t>
            </w:r>
            <w:r>
              <w:rPr>
                <w:rFonts w:hint="eastAsia" w:ascii="宋体" w:hAnsi="宋体" w:cs="Arial"/>
                <w:sz w:val="21"/>
                <w:szCs w:val="21"/>
              </w:rPr>
              <w:t>组织的岗位、职责和权限、</w:t>
            </w:r>
            <w:r>
              <w:rPr>
                <w:rFonts w:ascii="宋体" w:hAnsi="宋体" w:cs="Arial"/>
                <w:sz w:val="21"/>
                <w:szCs w:val="21"/>
              </w:rPr>
              <w:t>6.2</w:t>
            </w:r>
            <w:r>
              <w:rPr>
                <w:rFonts w:hint="eastAsia" w:ascii="宋体" w:hAnsi="宋体" w:cs="Arial"/>
                <w:sz w:val="21"/>
                <w:szCs w:val="21"/>
              </w:rPr>
              <w:t>质量目标、</w:t>
            </w:r>
            <w:r>
              <w:rPr>
                <w:rFonts w:ascii="宋体" w:hAnsi="宋体" w:cs="Arial"/>
                <w:sz w:val="21"/>
                <w:szCs w:val="21"/>
              </w:rPr>
              <w:t>7.1.2</w:t>
            </w:r>
            <w:r>
              <w:rPr>
                <w:rFonts w:hint="eastAsia" w:ascii="宋体" w:hAnsi="宋体" w:cs="Arial"/>
                <w:sz w:val="21"/>
                <w:szCs w:val="21"/>
              </w:rPr>
              <w:t>人员、</w:t>
            </w:r>
            <w:r>
              <w:rPr>
                <w:rFonts w:hint="eastAsia" w:cs="Arial" w:asciiTheme="minorEastAsia" w:hAnsiTheme="minorEastAsia" w:eastAsiaTheme="minorEastAsia"/>
                <w:sz w:val="21"/>
                <w:szCs w:val="21"/>
              </w:rPr>
              <w:t>7.1.6组织知识、7.2能力、7.3意识、</w:t>
            </w:r>
            <w:r>
              <w:rPr>
                <w:rFonts w:hint="eastAsia" w:cs="Arial" w:asciiTheme="minorEastAsia" w:hAnsiTheme="minorEastAsia" w:eastAsiaTheme="minorEastAsia"/>
                <w:spacing w:val="-6"/>
                <w:sz w:val="21"/>
                <w:szCs w:val="21"/>
              </w:rPr>
              <w:t>7.4沟通/信息交流、</w:t>
            </w:r>
            <w:r>
              <w:rPr>
                <w:rFonts w:ascii="宋体" w:hAnsi="宋体" w:cs="Arial"/>
                <w:sz w:val="21"/>
                <w:szCs w:val="21"/>
              </w:rPr>
              <w:t>7.5.1</w:t>
            </w:r>
            <w:r>
              <w:rPr>
                <w:rFonts w:hint="eastAsia" w:ascii="宋体" w:hAnsi="宋体" w:cs="Arial"/>
                <w:sz w:val="21"/>
                <w:szCs w:val="21"/>
              </w:rPr>
              <w:t>形成文件的信息总则、</w:t>
            </w:r>
            <w:r>
              <w:rPr>
                <w:rFonts w:ascii="宋体" w:hAnsi="宋体" w:cs="Arial"/>
                <w:sz w:val="21"/>
                <w:szCs w:val="21"/>
              </w:rPr>
              <w:t>7.5.2</w:t>
            </w:r>
            <w:r>
              <w:rPr>
                <w:rFonts w:hint="eastAsia" w:ascii="宋体" w:hAnsi="宋体" w:cs="Arial"/>
                <w:sz w:val="21"/>
                <w:szCs w:val="21"/>
              </w:rPr>
              <w:t>形成文件的信息的创建和更新、</w:t>
            </w:r>
            <w:r>
              <w:rPr>
                <w:rFonts w:ascii="宋体" w:hAnsi="宋体" w:cs="Arial"/>
                <w:sz w:val="21"/>
                <w:szCs w:val="21"/>
              </w:rPr>
              <w:t>7.5.3</w:t>
            </w:r>
            <w:r>
              <w:rPr>
                <w:rFonts w:hint="eastAsia" w:ascii="宋体" w:hAnsi="宋体" w:cs="Arial"/>
                <w:sz w:val="21"/>
                <w:szCs w:val="21"/>
              </w:rPr>
              <w:t>形成文件的信息的控制、</w:t>
            </w:r>
            <w:r>
              <w:rPr>
                <w:rFonts w:ascii="宋体" w:hAnsi="宋体" w:cs="Arial"/>
                <w:sz w:val="21"/>
                <w:szCs w:val="21"/>
              </w:rPr>
              <w:t>8.1</w:t>
            </w:r>
            <w:r>
              <w:rPr>
                <w:rFonts w:hint="eastAsia" w:ascii="宋体" w:hAnsi="宋体" w:cs="Arial"/>
                <w:sz w:val="21"/>
                <w:szCs w:val="21"/>
              </w:rPr>
              <w:t>运行策划和控制</w:t>
            </w:r>
            <w:r>
              <w:rPr>
                <w:rFonts w:hint="eastAsia" w:ascii="宋体" w:hAnsi="宋体" w:cs="Arial"/>
                <w:sz w:val="21"/>
                <w:szCs w:val="21"/>
                <w:lang w:eastAsia="zh-CN"/>
              </w:rPr>
              <w:t>、</w:t>
            </w:r>
            <w:r>
              <w:rPr>
                <w:rFonts w:ascii="宋体" w:hAnsi="宋体" w:cs="Arial"/>
                <w:sz w:val="21"/>
                <w:szCs w:val="21"/>
              </w:rPr>
              <w:t>8.2</w:t>
            </w:r>
            <w:r>
              <w:rPr>
                <w:rFonts w:hint="eastAsia" w:ascii="宋体" w:hAnsi="宋体" w:cs="Arial"/>
                <w:sz w:val="21"/>
                <w:szCs w:val="21"/>
              </w:rPr>
              <w:t>产品和服务的要求、</w:t>
            </w:r>
            <w:r>
              <w:rPr>
                <w:rFonts w:ascii="宋体" w:hAnsi="宋体" w:cs="Arial"/>
                <w:sz w:val="21"/>
                <w:szCs w:val="21"/>
              </w:rPr>
              <w:t>8.4</w:t>
            </w:r>
            <w:r>
              <w:rPr>
                <w:rFonts w:hint="eastAsia" w:ascii="宋体" w:hAnsi="宋体" w:cs="Arial"/>
                <w:sz w:val="21"/>
                <w:szCs w:val="21"/>
              </w:rPr>
              <w:t>外部提供过程、产品和服务的控制、</w:t>
            </w:r>
            <w:r>
              <w:rPr>
                <w:rFonts w:ascii="宋体" w:hAnsi="宋体" w:cs="Arial"/>
                <w:sz w:val="21"/>
                <w:szCs w:val="21"/>
              </w:rPr>
              <w:t>8.5.3</w:t>
            </w:r>
            <w:r>
              <w:rPr>
                <w:rFonts w:hint="eastAsia" w:ascii="宋体" w:hAnsi="宋体" w:cs="Arial"/>
                <w:sz w:val="21"/>
                <w:szCs w:val="21"/>
              </w:rPr>
              <w:t>顾客或外部供方的财产、</w:t>
            </w:r>
            <w:r>
              <w:rPr>
                <w:rFonts w:hint="eastAsia" w:ascii="宋体" w:hAnsi="宋体" w:cs="Arial"/>
                <w:sz w:val="21"/>
                <w:szCs w:val="21"/>
                <w:lang w:val="en-US" w:eastAsia="zh-CN"/>
              </w:rPr>
              <w:t>8.5.5交付后的活动</w:t>
            </w:r>
            <w:r>
              <w:rPr>
                <w:rFonts w:hint="eastAsia" w:ascii="宋体" w:hAnsi="宋体" w:cs="Arial"/>
                <w:sz w:val="21"/>
                <w:szCs w:val="21"/>
                <w:lang w:eastAsia="zh-CN"/>
              </w:rPr>
              <w:t>、</w:t>
            </w:r>
            <w:r>
              <w:rPr>
                <w:rFonts w:hint="eastAsia" w:cs="Arial" w:asciiTheme="minorEastAsia" w:hAnsiTheme="minorEastAsia" w:eastAsiaTheme="minorEastAsia"/>
                <w:spacing w:val="-6"/>
                <w:sz w:val="21"/>
                <w:szCs w:val="21"/>
              </w:rPr>
              <w:t>9.1.1监视、测量、分析和评价总则</w:t>
            </w:r>
            <w:r>
              <w:rPr>
                <w:rFonts w:hint="eastAsia" w:cs="Arial" w:asciiTheme="minorEastAsia" w:hAnsiTheme="minorEastAsia" w:eastAsiaTheme="minorEastAsia"/>
                <w:spacing w:val="-6"/>
                <w:sz w:val="21"/>
                <w:szCs w:val="21"/>
                <w:lang w:eastAsia="zh-CN"/>
              </w:rPr>
              <w:t>、</w:t>
            </w:r>
            <w:r>
              <w:rPr>
                <w:rFonts w:hint="eastAsia" w:cs="Arial" w:asciiTheme="minorEastAsia" w:hAnsiTheme="minorEastAsia" w:eastAsiaTheme="minorEastAsia"/>
                <w:sz w:val="21"/>
                <w:szCs w:val="21"/>
              </w:rPr>
              <w:t>9.1.3分析与评价、</w:t>
            </w:r>
            <w:r>
              <w:rPr>
                <w:rFonts w:ascii="宋体" w:hAnsi="宋体" w:cs="Arial"/>
                <w:sz w:val="21"/>
                <w:szCs w:val="21"/>
              </w:rPr>
              <w:t>9.1.2</w:t>
            </w:r>
            <w:r>
              <w:rPr>
                <w:rFonts w:hint="eastAsia" w:ascii="宋体" w:hAnsi="宋体" w:cs="Arial"/>
                <w:sz w:val="21"/>
                <w:szCs w:val="21"/>
              </w:rPr>
              <w:t>顾客满意</w:t>
            </w:r>
            <w:r>
              <w:rPr>
                <w:rFonts w:hint="eastAsia" w:ascii="宋体" w:hAnsi="宋体" w:cs="Arial"/>
                <w:sz w:val="21"/>
                <w:szCs w:val="21"/>
                <w:lang w:eastAsia="zh-CN"/>
              </w:rPr>
              <w:t>、</w:t>
            </w:r>
            <w:r>
              <w:rPr>
                <w:rFonts w:hint="eastAsia" w:cs="Arial" w:asciiTheme="minorEastAsia" w:hAnsiTheme="minorEastAsia" w:eastAsiaTheme="minorEastAsia"/>
                <w:sz w:val="21"/>
                <w:szCs w:val="21"/>
              </w:rPr>
              <w:t>9.2 内部审核、10.2不合格和纠正措施</w:t>
            </w:r>
            <w:r>
              <w:rPr>
                <w:rFonts w:hint="eastAsia" w:cs="Arial" w:asciiTheme="minorEastAsia" w:hAnsiTheme="minorEastAsia" w:eastAsiaTheme="minor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r>
              <w:rPr>
                <w:rFonts w:hint="eastAsia" w:cs="Arial" w:asciiTheme="minorEastAsia" w:hAnsiTheme="minorEastAsia" w:eastAsiaTheme="minorEastAsia"/>
                <w:sz w:val="21"/>
                <w:szCs w:val="21"/>
              </w:rPr>
              <w:t>E/OMS: 5.3组织的岗位、职责和权限、6.1.2环境因素/危险源的辨识与评价、6.1.3合规义务、6.1.4措施的策划、6.2.1环境/职业健康安全目标、6.2.2实现环境/职业健康安全目标措施的策划、7.2能力、7.3意识、7.5.1形成文件的信息总则、7.5.2形成文件的信息的创建和更新、7.5.3形成文件的信息的控制、8.1运行策划和控制、8.2应急准备和响应</w:t>
            </w:r>
            <w:r>
              <w:rPr>
                <w:rFonts w:hint="eastAsia" w:cs="Arial" w:asciiTheme="minorEastAsia" w:hAnsiTheme="minorEastAsia" w:eastAsiaTheme="minorEastAsia"/>
                <w:sz w:val="21"/>
                <w:szCs w:val="21"/>
                <w:lang w:eastAsia="zh-CN"/>
              </w:rPr>
              <w:t>、</w:t>
            </w:r>
            <w:r>
              <w:rPr>
                <w:rFonts w:hint="eastAsia" w:cs="Arial" w:asciiTheme="minorEastAsia" w:hAnsiTheme="minorEastAsia" w:eastAsiaTheme="minorEastAsia"/>
                <w:sz w:val="21"/>
                <w:szCs w:val="21"/>
              </w:rPr>
              <w:t>9.1监视、测量、分析和评价（9.1.1总则、9.1.2合规性评价）、9.2 内部审核。</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rPr>
              <w:t>岗位、职责和权限</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i w:val="0"/>
                <w:iCs w:val="0"/>
                <w:color w:val="auto"/>
                <w:highlight w:val="none"/>
                <w:lang w:val="en-US" w:eastAsia="zh-CN"/>
              </w:rPr>
            </w:pPr>
            <w:r>
              <w:rPr>
                <w:rFonts w:hint="eastAsia" w:cs="Times New Roman"/>
                <w:i w:val="0"/>
                <w:iCs w:val="0"/>
                <w:color w:val="auto"/>
                <w:highlight w:val="none"/>
                <w:lang w:val="en-US" w:eastAsia="zh-CN"/>
              </w:rPr>
              <w:t>综合办</w:t>
            </w:r>
            <w:r>
              <w:rPr>
                <w:rFonts w:hint="default" w:ascii="Times New Roman" w:hAnsi="Times New Roman" w:cs="Times New Roman"/>
                <w:i w:val="0"/>
                <w:iCs w:val="0"/>
                <w:color w:val="auto"/>
                <w:highlight w:val="none"/>
                <w:lang w:val="en-US" w:eastAsia="zh-CN"/>
              </w:rPr>
              <w:t>现有</w:t>
            </w:r>
            <w:r>
              <w:rPr>
                <w:rFonts w:hint="eastAsia" w:cs="Times New Roman"/>
                <w:i w:val="0"/>
                <w:iCs w:val="0"/>
                <w:color w:val="auto"/>
                <w:highlight w:val="none"/>
                <w:lang w:val="en-US" w:eastAsia="zh-CN"/>
              </w:rPr>
              <w:t>2</w:t>
            </w:r>
            <w:r>
              <w:rPr>
                <w:rFonts w:hint="default" w:ascii="Times New Roman" w:hAnsi="Times New Roman" w:cs="Times New Roman"/>
                <w:i w:val="0"/>
                <w:iCs w:val="0"/>
                <w:color w:val="auto"/>
                <w:highlight w:val="none"/>
                <w:lang w:val="en-US" w:eastAsia="zh-CN"/>
              </w:rPr>
              <w:t>人</w:t>
            </w:r>
            <w:r>
              <w:rPr>
                <w:rFonts w:hint="eastAsia" w:cs="Times New Roman"/>
                <w:i w:val="0"/>
                <w:iCs w:val="0"/>
                <w:color w:val="auto"/>
                <w:highlight w:val="none"/>
                <w:lang w:val="en-US" w:eastAsia="zh-CN"/>
              </w:rPr>
              <w:t>，部长1人，管理人员1人；</w:t>
            </w:r>
          </w:p>
          <w:p>
            <w:pPr>
              <w:pStyle w:val="3"/>
              <w:spacing w:line="410" w:lineRule="exact"/>
              <w:ind w:firstLine="480" w:firstLineChars="200"/>
              <w:rPr>
                <w:sz w:val="24"/>
              </w:rPr>
            </w:pPr>
            <w:r>
              <w:rPr>
                <w:rFonts w:hint="eastAsia"/>
                <w:sz w:val="24"/>
                <w:lang w:eastAsia="zh-CN"/>
              </w:rPr>
              <w:t>综合办公室</w:t>
            </w:r>
            <w:r>
              <w:rPr>
                <w:sz w:val="24"/>
              </w:rPr>
              <w:t>职责：</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负责质量/环境/职业健康安全内审和管理评审的准备和跟进工作；负责质量/环境/职业健康安全管理体系文件化信息的统一管理和控制；</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 xml:space="preserve">负责组织环境全因素、危险源的识别和评价，组织对重要环境全因素、重大危险源进行管理方案实施； </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 xml:space="preserve">负责质量/环境/职业健康安全信息的内外部交流，法律法规和其他要求的获取、识别和管理； </w:t>
            </w:r>
          </w:p>
          <w:p>
            <w:pPr>
              <w:pStyle w:val="3"/>
              <w:numPr>
                <w:ilvl w:val="0"/>
                <w:numId w:val="1"/>
              </w:numPr>
              <w:spacing w:line="410" w:lineRule="exact"/>
              <w:ind w:left="826" w:hanging="346"/>
              <w:rPr>
                <w:rFonts w:hint="eastAsia" w:ascii="宋体" w:hAnsi="宋体" w:eastAsia="宋体" w:cs="宋体"/>
                <w:color w:val="auto"/>
                <w:sz w:val="24"/>
              </w:rPr>
            </w:pPr>
            <w:r>
              <w:rPr>
                <w:rFonts w:hint="eastAsia" w:ascii="宋体" w:hAnsi="宋体" w:eastAsia="宋体" w:cs="宋体"/>
                <w:color w:val="auto"/>
                <w:sz w:val="24"/>
              </w:rPr>
              <w:t xml:space="preserve">负责公司年度环境/职业安全监测及所有废弃物的处理跟踪； </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color w:val="auto"/>
                <w:sz w:val="24"/>
              </w:rPr>
              <w:t>负责对部门在体系管理职能过程中涉及的各质量过程、环境因素、</w:t>
            </w:r>
            <w:r>
              <w:rPr>
                <w:rFonts w:hint="eastAsia" w:ascii="宋体" w:hAnsi="宋体" w:eastAsia="宋体" w:cs="宋体"/>
                <w:sz w:val="24"/>
              </w:rPr>
              <w:t>危险源的控制，实施合理的管理方案，实现部门质量/环境/职业健康安全目标指标；</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负责财务范围内所有工作，并协助有关部门进行成本控制，认真贯彻实施本公司的管理方针和管理目标；</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根据部门需求招聘员工，识别员工培训要求，编制员工培训计划，确保培训得到有效实</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施；确保提供产品符合性所需的各类环境设施。</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负责公司的有毒有害废弃物的安全处理，保证相关物流运输安全。</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 xml:space="preserve">编制环境安全措施及环保治理资金使用计划，确保资金到位，监督专款专用； </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 xml:space="preserve">负责公司日常财务开支，保证质量/环境/职业健康安全管理资金的落实； </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负责员工社会保险工作（养老、失业保险、医疗保险）的管理工作。</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 xml:space="preserve">负责与顾客沟通，收集、处理有关信息，负责组织与产品有关要求的评审； </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负责公司产品的宣传、推广、销售、回款以及公司的形象宣传等所有销售活动管理。</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负责顾客财产的管理工作；</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负责保持与顾客进行有关的质量/环境/职业健康安全信息交流，并将管理信息传递给有关人员。</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负责采购流程的管理与供应商管理，要求供应商提供相关资料；</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 xml:space="preserve">分析日常消耗品的各行业市场及价格，进行采购活动和供应商的谈判。                                                                     </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寻找合适的供应商，询价并议价，确定最终的采购价格。</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对供应商进行评估、选择及管理，确保供应商和相关材料符合与的要求。</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负责物料市场价格的调查，保证材料来源，保持与供应商的关系。</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根据采购计划提出采购策略，与供应商签订合同，向供方展示公司的与绩效。</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负责公司采购合同制定、归档，并将采购合同及有关通知发送给供应商。</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追踪供应商的生产进度及到货情况。</w:t>
            </w:r>
          </w:p>
          <w:p>
            <w:pPr>
              <w:pStyle w:val="3"/>
              <w:numPr>
                <w:ilvl w:val="0"/>
                <w:numId w:val="1"/>
              </w:numPr>
              <w:spacing w:line="410" w:lineRule="exact"/>
              <w:ind w:left="826" w:hanging="346"/>
              <w:rPr>
                <w:rFonts w:hint="eastAsia" w:ascii="宋体" w:hAnsi="宋体" w:eastAsia="宋体" w:cs="宋体"/>
                <w:sz w:val="24"/>
              </w:rPr>
            </w:pPr>
            <w:r>
              <w:rPr>
                <w:rFonts w:hint="eastAsia" w:ascii="宋体" w:hAnsi="宋体" w:eastAsia="宋体" w:cs="宋体"/>
                <w:sz w:val="24"/>
              </w:rPr>
              <w:t>当物料出现不良时，与供应商交涉及处理退换货事宜。</w:t>
            </w:r>
          </w:p>
          <w:p>
            <w:pPr>
              <w:pStyle w:val="3"/>
              <w:spacing w:line="410" w:lineRule="exact"/>
              <w:ind w:firstLine="480" w:firstLineChars="200"/>
              <w:rPr>
                <w:rFonts w:hint="eastAsia" w:ascii="宋体" w:hAnsi="宋体" w:eastAsia="宋体" w:cs="宋体"/>
                <w:sz w:val="24"/>
              </w:rPr>
            </w:pPr>
            <w:r>
              <w:rPr>
                <w:rFonts w:hint="eastAsia" w:ascii="宋体" w:hAnsi="宋体" w:eastAsia="宋体" w:cs="宋体"/>
                <w:sz w:val="24"/>
              </w:rPr>
              <w:t>A）根据供应商的对账单及实际到货情况对货款进行结算，并上财务人员。</w:t>
            </w:r>
          </w:p>
          <w:p>
            <w:pPr>
              <w:pStyle w:val="3"/>
              <w:spacing w:line="410" w:lineRule="exact"/>
              <w:ind w:firstLine="480" w:firstLineChars="200"/>
              <w:rPr>
                <w:rFonts w:hint="eastAsia" w:ascii="宋体" w:hAnsi="宋体" w:eastAsia="宋体" w:cs="宋体"/>
                <w:sz w:val="24"/>
              </w:rPr>
            </w:pPr>
            <w:r>
              <w:rPr>
                <w:rFonts w:hint="eastAsia" w:ascii="宋体" w:hAnsi="宋体" w:eastAsia="宋体" w:cs="宋体"/>
                <w:sz w:val="24"/>
              </w:rPr>
              <w:t>B)负责向供方传达公司有关与的质量/环境/职业健康安全管理要求和信息，对供方实施评价，实施环境职业健康安全影响，有需要时对供方进行现场实施的验证活动；对外部供方的业绩进行控制和监视，促进供方改进与绩效提升。</w:t>
            </w:r>
          </w:p>
          <w:p>
            <w:pPr>
              <w:pStyle w:val="3"/>
              <w:spacing w:line="410" w:lineRule="exact"/>
              <w:ind w:firstLine="480" w:firstLineChars="200"/>
              <w:rPr>
                <w:rFonts w:hint="eastAsia" w:ascii="Times New Roman" w:hAnsi="Times New Roman" w:eastAsia="宋体" w:cs="Times New Roman"/>
                <w:color w:val="FF0000"/>
                <w:kern w:val="2"/>
                <w:sz w:val="21"/>
                <w:lang w:val="en-US" w:eastAsia="zh-CN" w:bidi="ar-SA"/>
              </w:rPr>
            </w:pPr>
            <w:r>
              <w:rPr>
                <w:rFonts w:hint="eastAsia" w:ascii="宋体" w:hAnsi="宋体" w:eastAsia="宋体" w:cs="宋体"/>
                <w:sz w:val="24"/>
              </w:rPr>
              <w:t>C）识别顾客满意机会，评价顾客满意。</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目标</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kern w:val="2"/>
                <w:sz w:val="21"/>
                <w:lang w:val="en-US" w:eastAsia="zh-CN" w:bidi="ar-SA"/>
              </w:rPr>
            </w:pPr>
            <w:r>
              <w:rPr>
                <w:rFonts w:hint="eastAsia" w:cs="Times New Roman"/>
                <w:color w:val="auto"/>
                <w:lang w:val="en-US" w:eastAsia="zh-CN"/>
              </w:rPr>
              <w:t>措施</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lang w:val="en-US" w:eastAsia="zh-CN"/>
              </w:rPr>
              <w:t>QEO:6.2</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lang w:val="en-US" w:eastAsia="zh-CN"/>
              </w:rPr>
              <w:t>查见“目标分解考核表”，显示对目标进行了分解；</w:t>
            </w:r>
            <w:r>
              <w:rPr>
                <w:rFonts w:hint="default" w:ascii="Times New Roman" w:hAnsi="Times New Roman" w:cs="Times New Roman"/>
                <w:color w:val="auto"/>
                <w:highlight w:val="none"/>
                <w:lang w:val="en-US" w:eastAsia="zh-CN"/>
              </w:rPr>
              <w:t>见</w:t>
            </w:r>
            <w:r>
              <w:rPr>
                <w:rFonts w:hint="eastAsia" w:cs="Times New Roman"/>
                <w:color w:val="auto"/>
                <w:highlight w:val="none"/>
                <w:lang w:val="en-US" w:eastAsia="zh-CN"/>
              </w:rPr>
              <w:t>综合办</w:t>
            </w:r>
            <w:r>
              <w:rPr>
                <w:rFonts w:hint="default" w:ascii="Times New Roman" w:hAnsi="Times New Roman" w:cs="Times New Roman"/>
                <w:color w:val="auto"/>
                <w:highlight w:val="none"/>
                <w:lang w:val="en-US" w:eastAsia="zh-CN"/>
              </w:rPr>
              <w:t>的目标：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drawing>
                <wp:inline distT="0" distB="0" distL="114300" distR="114300">
                  <wp:extent cx="5945505" cy="1505585"/>
                  <wp:effectExtent l="0" t="0" r="17145" b="184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945505" cy="15055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drawing>
                <wp:anchor distT="0" distB="0" distL="114300" distR="114300" simplePos="0" relativeHeight="251659264" behindDoc="0" locked="0" layoutInCell="1" allowOverlap="1">
                  <wp:simplePos x="0" y="0"/>
                  <wp:positionH relativeFrom="column">
                    <wp:posOffset>695325</wp:posOffset>
                  </wp:positionH>
                  <wp:positionV relativeFrom="paragraph">
                    <wp:posOffset>274320</wp:posOffset>
                  </wp:positionV>
                  <wp:extent cx="4336415" cy="2738120"/>
                  <wp:effectExtent l="0" t="0" r="6985"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4336415" cy="2738120"/>
                          </a:xfrm>
                          <a:prstGeom prst="rect">
                            <a:avLst/>
                          </a:prstGeom>
                          <a:noFill/>
                          <a:ln>
                            <a:noFill/>
                          </a:ln>
                        </pic:spPr>
                      </pic:pic>
                    </a:graphicData>
                  </a:graphic>
                </wp:anchor>
              </w:drawing>
            </w:r>
            <w:r>
              <w:rPr>
                <w:rFonts w:hint="eastAsia" w:cs="Times New Roman" w:eastAsiaTheme="minorEastAsia"/>
                <w:color w:val="auto"/>
                <w:sz w:val="21"/>
                <w:szCs w:val="21"/>
                <w:lang w:val="en-US" w:eastAsia="zh-CN"/>
              </w:rPr>
              <w:t>制定“目标管理方案”，对重要环境因素和不可接受风险的控制措施进行了策划；</w:t>
            </w:r>
          </w:p>
          <w:p>
            <w:pPr>
              <w:pStyle w:val="2"/>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eastAsiaTheme="minorEastAsia"/>
                <w:color w:val="auto"/>
                <w:sz w:val="21"/>
                <w:szCs w:val="21"/>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eastAsiaTheme="minorEastAsia"/>
                <w:color w:val="auto"/>
                <w:sz w:val="21"/>
                <w:szCs w:val="21"/>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eastAsiaTheme="minorEastAsia"/>
                <w:color w:val="auto"/>
                <w:sz w:val="21"/>
                <w:szCs w:val="21"/>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eastAsiaTheme="minorEastAsia"/>
                <w:color w:val="auto"/>
                <w:sz w:val="21"/>
                <w:szCs w:val="21"/>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eastAsiaTheme="minorEastAsia"/>
                <w:color w:val="auto"/>
                <w:sz w:val="21"/>
                <w:szCs w:val="21"/>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eastAsiaTheme="minorEastAsia"/>
                <w:color w:val="auto"/>
                <w:sz w:val="21"/>
                <w:szCs w:val="21"/>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cs="Times New Roman" w:eastAsiaTheme="minorEastAsia"/>
                <w:color w:val="auto"/>
                <w:sz w:val="21"/>
                <w:szCs w:val="21"/>
                <w:lang w:val="en-US" w:eastAsia="zh-CN"/>
              </w:rPr>
            </w:pP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FF0000"/>
                <w:kern w:val="2"/>
                <w:sz w:val="21"/>
                <w:lang w:val="en-US" w:eastAsia="zh-CN" w:bidi="ar-SA"/>
              </w:rPr>
            </w:pPr>
            <w:r>
              <w:rPr>
                <w:rFonts w:hint="eastAsia" w:cs="Times New Roman" w:eastAsiaTheme="minorEastAsia"/>
                <w:color w:val="auto"/>
                <w:sz w:val="21"/>
                <w:szCs w:val="21"/>
                <w:lang w:val="en-US" w:eastAsia="zh-CN"/>
              </w:rPr>
              <w:t>“目标分解考核表”显示对目标完成情况进行了考核，2021.4-9月均完成，管理方案正在实施。</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环境因素/危险源的识别与评价</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措施的策划</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EO:6.1.2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6.1.4</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提供了环境因素和危险源识别评价与控制程序。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查“环境因素识别和评价表”，涉及综合办的环境因素有纸张使用能源消耗、办公场所吸烟污染环境、复印机打印机废墨盒处置污染环境、火灾发生后废弃物污染大气、水土等。考虑了生命周期观点。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采取打分法评价；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查“重要环境因素清单”，列有办公、业务活动的潜在火灾、固废排放为重要环境因素。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查“危害辨识、风险评价、风险控制工作表”，识别了办公、业务活动过程及相关方活动中的危险源，主要包括车辆伤害、火灾、中暑、其他伤害、机械伤害、其他伤害、起重伤害、物体打击等。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对识别出的危险源采取D=LEC进行评价；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highlight w:val="none"/>
                <w:lang w:val="en-US" w:eastAsia="zh-CN"/>
              </w:rPr>
            </w:pPr>
            <w:r>
              <w:rPr>
                <w:rFonts w:hint="eastAsia" w:cs="Times New Roman" w:eastAsiaTheme="minorEastAsia"/>
                <w:color w:val="auto"/>
                <w:sz w:val="21"/>
                <w:szCs w:val="21"/>
                <w:highlight w:val="none"/>
                <w:lang w:val="en-US" w:eastAsia="zh-CN"/>
              </w:rPr>
              <w:t>查“不可接受风险清单”，评价出重大危险源包括：火灾、意外、触电伤害。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策划了控制措施，制订了环境、职业健康安全管理方案。</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eastAsia" w:cs="Times New Roman" w:eastAsiaTheme="minorEastAsia"/>
                <w:color w:val="auto"/>
                <w:sz w:val="21"/>
                <w:szCs w:val="21"/>
                <w:lang w:val="en-US" w:eastAsia="zh-CN"/>
              </w:rPr>
              <w:t>经组织评价，组织策划的措施基本能够满足风险和机遇应对需要，能够与识别的风险和机遇对产品符合性的潜在影响相适应，基本满足标准要求。</w:t>
            </w:r>
          </w:p>
        </w:tc>
        <w:tc>
          <w:tcPr>
            <w:tcW w:w="1585"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合规义务</w:t>
            </w:r>
          </w:p>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rPr>
              <w:t>合规性评价</w:t>
            </w:r>
          </w:p>
        </w:tc>
        <w:tc>
          <w:tcPr>
            <w:tcW w:w="1093" w:type="dxa"/>
            <w:vAlign w:val="top"/>
          </w:tcPr>
          <w:p>
            <w:pPr>
              <w:keepNext w:val="0"/>
              <w:keepLines w:val="0"/>
              <w:pageBreakBefore w:val="0"/>
              <w:widowControl w:val="0"/>
              <w:kinsoku/>
              <w:wordWrap/>
              <w:overflowPunct/>
              <w:topLinePunct w:val="0"/>
              <w:autoSpaceDE/>
              <w:autoSpaceDN/>
              <w:bidi w:val="0"/>
              <w:spacing w:after="0" w:line="360" w:lineRule="auto"/>
              <w:rPr>
                <w:rFonts w:hint="eastAsia" w:ascii="宋体" w:hAnsi="宋体"/>
                <w:b w:val="0"/>
                <w:bCs w:val="0"/>
                <w:sz w:val="21"/>
                <w:szCs w:val="21"/>
                <w:lang w:val="en-US" w:eastAsia="zh-CN"/>
              </w:rPr>
            </w:pPr>
            <w:r>
              <w:rPr>
                <w:rFonts w:hint="eastAsia" w:ascii="宋体" w:hAnsi="宋体"/>
                <w:b w:val="0"/>
                <w:bCs w:val="0"/>
                <w:sz w:val="21"/>
                <w:szCs w:val="21"/>
                <w:lang w:val="en-US" w:eastAsia="zh-CN"/>
              </w:rPr>
              <w:t>EO:6.1.3</w:t>
            </w:r>
          </w:p>
          <w:p>
            <w:pPr>
              <w:keepNext w:val="0"/>
              <w:keepLines w:val="0"/>
              <w:pageBreakBefore w:val="0"/>
              <w:widowControl w:val="0"/>
              <w:kinsoku/>
              <w:wordWrap/>
              <w:overflowPunct/>
              <w:topLinePunct w:val="0"/>
              <w:autoSpaceDE/>
              <w:autoSpaceDN/>
              <w:bidi w:val="0"/>
              <w:spacing w:after="0" w:line="360" w:lineRule="auto"/>
              <w:rPr>
                <w:rFonts w:hint="default" w:ascii="宋体" w:hAnsi="宋体" w:eastAsia="宋体" w:cs="Times New Roman"/>
                <w:b w:val="0"/>
                <w:bCs w:val="0"/>
                <w:kern w:val="2"/>
                <w:sz w:val="21"/>
                <w:szCs w:val="21"/>
                <w:lang w:val="en-US" w:eastAsia="zh-CN" w:bidi="ar-SA"/>
              </w:rPr>
            </w:pPr>
            <w:r>
              <w:rPr>
                <w:rFonts w:hint="eastAsia" w:ascii="宋体" w:hAnsi="宋体"/>
                <w:b w:val="0"/>
                <w:bCs w:val="0"/>
                <w:sz w:val="21"/>
                <w:szCs w:val="21"/>
                <w:lang w:val="en-US" w:eastAsia="zh-CN"/>
              </w:rPr>
              <w:t>9.1.2</w:t>
            </w:r>
          </w:p>
        </w:tc>
        <w:tc>
          <w:tcPr>
            <w:tcW w:w="10004"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lang w:val="en-US" w:eastAsia="zh-CN"/>
              </w:rPr>
            </w:pPr>
            <w:r>
              <w:rPr>
                <w:rFonts w:hint="eastAsia"/>
                <w:lang w:val="en-US" w:eastAsia="zh-CN"/>
              </w:rPr>
              <w:t>编制了《法律法规和其他要求控制程序》，对法律法规的识别更新和应用进行规定。</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lang w:val="en-US" w:eastAsia="zh-CN"/>
              </w:rPr>
            </w:pPr>
            <w:r>
              <w:rPr>
                <w:rFonts w:hint="eastAsia"/>
                <w:lang w:val="en-US" w:eastAsia="zh-CN"/>
              </w:rPr>
              <w:t>介绍说，主要通过网络、报纸杂志电视等新闻媒体、购买、上级下发等多种形式收集本公司适用的法律法规。</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default"/>
                <w:lang w:val="en-US" w:eastAsia="zh-CN"/>
              </w:rPr>
            </w:pPr>
            <w:r>
              <w:rPr>
                <w:rFonts w:hint="eastAsia"/>
                <w:lang w:val="en-US" w:eastAsia="zh-CN"/>
              </w:rPr>
              <w:t>提供了《适用的法律法规及其他要求一览表》，识别了企业相关环境和职业健康安全法律法规、标准和其他要求，如：中华人民共和国环境保护法、中华人民共和国环境噪声污染防治法、中华人民共和国大气污染防治法、中华人民共和国水污染防治法、中华人民共和国固体废物污染环境防治法、中华人民共和国节约能源法、中华人民共和国职业病防治法、中华人民共和国消防法、中华人民共和国食品安全法、中华人民共和国特种设备安全法、中华人民共和国劳动法、中华人民共和国妇女权益保障法、中华人民共和国安全生产法等。共计76项，基本符合。</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lang w:val="en-US" w:eastAsia="zh-CN"/>
              </w:rPr>
            </w:pPr>
            <w:r>
              <w:rPr>
                <w:rFonts w:hint="eastAsia"/>
                <w:lang w:val="en-US" w:eastAsia="zh-CN"/>
              </w:rPr>
              <w:t>已识别法律法规及其它要求的适用条款，并与环境因素、危险源进行了对应。</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420" w:firstLineChars="200"/>
              <w:textAlignment w:val="baseline"/>
              <w:rPr>
                <w:rFonts w:hint="eastAsia"/>
                <w:lang w:val="en-US" w:eastAsia="zh-CN"/>
              </w:rPr>
            </w:pPr>
            <w:r>
              <w:rPr>
                <w:rFonts w:hint="eastAsia"/>
                <w:lang w:val="en-US" w:eastAsia="zh-CN"/>
              </w:rPr>
              <w:t>公司通过培训、会议等方式向有关员工传达法律、法规及其它要求的相关要求。</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编制了《合规性评价控制程序》，其中规定了对本公司法规及其他要求的合规性评价的要求。</w:t>
            </w:r>
          </w:p>
          <w:p>
            <w:pPr>
              <w:keepNext w:val="0"/>
              <w:keepLines w:val="0"/>
              <w:pageBreakBefore w:val="0"/>
              <w:widowControl w:val="0"/>
              <w:kinsoku/>
              <w:wordWrap/>
              <w:overflowPunct/>
              <w:topLinePunct w:val="0"/>
              <w:autoSpaceDE/>
              <w:autoSpaceDN/>
              <w:bidi w:val="0"/>
              <w:adjustRightInd w:val="0"/>
              <w:snapToGrid w:val="0"/>
              <w:spacing w:after="0" w:line="360" w:lineRule="auto"/>
              <w:ind w:right="105" w:rightChars="50" w:firstLine="396" w:firstLineChars="200"/>
              <w:textAlignment w:val="baseline"/>
              <w:rPr>
                <w:rFonts w:hint="eastAsia" w:ascii="宋体" w:hAnsi="宋体" w:cs="Arial"/>
                <w:spacing w:val="-6"/>
                <w:sz w:val="21"/>
                <w:szCs w:val="21"/>
                <w:highlight w:val="none"/>
                <w:lang w:val="en-US" w:eastAsia="zh-CN"/>
              </w:rPr>
            </w:pPr>
            <w:r>
              <w:rPr>
                <w:rFonts w:hint="eastAsia" w:ascii="宋体" w:hAnsi="宋体" w:cs="Arial"/>
                <w:spacing w:val="-6"/>
                <w:sz w:val="21"/>
                <w:szCs w:val="21"/>
                <w:highlight w:val="none"/>
                <w:lang w:val="en-US" w:eastAsia="zh-CN"/>
              </w:rPr>
              <w:t>提供了《合规性评价报告》，2021年7月25日对公司适用的法律法规及其他要求的遵守情况进行了评价，评价结论：公司没有违反国家法律、法规及相关标准，能严格遵守国家有关环境和职业健康安全管理方面的相关规定，密切关注法律法规的变化，并适时调整，严格按体系标准执行。</w:t>
            </w:r>
          </w:p>
          <w:p>
            <w:pPr>
              <w:pStyle w:val="3"/>
              <w:keepNext w:val="0"/>
              <w:keepLines w:val="0"/>
              <w:pageBreakBefore w:val="0"/>
              <w:widowControl w:val="0"/>
              <w:kinsoku/>
              <w:wordWrap/>
              <w:overflowPunct/>
              <w:topLinePunct w:val="0"/>
              <w:autoSpaceDE/>
              <w:autoSpaceDN/>
              <w:bidi w:val="0"/>
              <w:spacing w:after="0" w:afterLines="0" w:line="360" w:lineRule="auto"/>
              <w:ind w:firstLine="396" w:firstLineChars="200"/>
              <w:rPr>
                <w:rFonts w:hint="eastAsia" w:ascii="Times New Roman" w:hAnsi="Times New Roman" w:eastAsia="宋体" w:cs="Times New Roman"/>
                <w:kern w:val="2"/>
                <w:sz w:val="21"/>
                <w:lang w:val="en-US" w:eastAsia="zh-CN" w:bidi="ar-SA"/>
              </w:rPr>
            </w:pPr>
            <w:r>
              <w:rPr>
                <w:rFonts w:hint="eastAsia" w:ascii="宋体" w:hAnsi="宋体" w:cs="Arial"/>
                <w:spacing w:val="-6"/>
                <w:sz w:val="21"/>
                <w:szCs w:val="21"/>
                <w:highlight w:val="none"/>
                <w:lang w:val="en-US" w:eastAsia="zh-CN"/>
              </w:rPr>
              <w:t>基本满足要求。</w:t>
            </w:r>
          </w:p>
        </w:tc>
        <w:tc>
          <w:tcPr>
            <w:tcW w:w="1585" w:type="dxa"/>
            <w:vAlign w:val="top"/>
          </w:tcPr>
          <w:p>
            <w:pPr>
              <w:keepNext w:val="0"/>
              <w:keepLines w:val="0"/>
              <w:pageBreakBefore w:val="0"/>
              <w:widowControl w:val="0"/>
              <w:kinsoku/>
              <w:wordWrap/>
              <w:overflowPunct/>
              <w:topLinePunct w:val="0"/>
              <w:autoSpaceDE/>
              <w:autoSpaceDN/>
              <w:bidi w:val="0"/>
              <w:spacing w:after="0" w:line="360" w:lineRule="auto"/>
              <w:rPr>
                <w:rFonts w:hint="default"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人员</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能力</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意识</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Q:7.1.2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eastAsia" w:ascii="Times New Roman" w:hAnsi="Times New Roman" w:cs="Times New Roman"/>
                <w:color w:val="auto"/>
                <w:spacing w:val="-6"/>
                <w:sz w:val="21"/>
                <w:szCs w:val="21"/>
                <w:lang w:val="en-US" w:eastAsia="zh-CN"/>
              </w:rPr>
              <w:t>EO:7.1</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QEO:</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sz w:val="21"/>
                <w:szCs w:val="21"/>
                <w:lang w:val="en-US" w:eastAsia="zh-CN"/>
              </w:rPr>
            </w:pPr>
            <w:r>
              <w:rPr>
                <w:rFonts w:hint="default" w:ascii="Times New Roman" w:hAnsi="Times New Roman" w:cs="Times New Roman"/>
                <w:color w:val="auto"/>
                <w:spacing w:val="-6"/>
                <w:sz w:val="21"/>
                <w:szCs w:val="21"/>
                <w:lang w:val="en-US" w:eastAsia="zh-CN"/>
              </w:rPr>
              <w:t>7.2</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lang w:val="en-US" w:eastAsia="zh-CN"/>
              </w:rPr>
              <w:t>7.3</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公司能保证必要的资源，2021.4-2021.9，安全环保投入11.46余万元；基本满足。</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建立有《人力资源控制程序》，有效文件；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公司现有人员</w:t>
            </w:r>
            <w:r>
              <w:rPr>
                <w:rFonts w:hint="eastAsia" w:cs="Times New Roman"/>
                <w:color w:val="auto"/>
                <w:highlight w:val="none"/>
                <w:lang w:val="en-US" w:eastAsia="zh-CN"/>
              </w:rPr>
              <w:t>15</w:t>
            </w:r>
            <w:r>
              <w:rPr>
                <w:rFonts w:hint="default" w:ascii="Times New Roman" w:hAnsi="Times New Roman" w:cs="Times New Roman"/>
                <w:color w:val="auto"/>
                <w:highlight w:val="none"/>
                <w:lang w:val="en-US" w:eastAsia="zh-CN"/>
              </w:rPr>
              <w:t>人，</w:t>
            </w:r>
            <w:r>
              <w:rPr>
                <w:rFonts w:hint="default" w:ascii="Times New Roman" w:hAnsi="Times New Roman" w:cs="Times New Roman"/>
                <w:color w:val="auto"/>
                <w:spacing w:val="-6"/>
                <w:sz w:val="21"/>
                <w:szCs w:val="21"/>
                <w:highlight w:val="none"/>
                <w:lang w:val="en-US" w:eastAsia="zh-CN"/>
              </w:rPr>
              <w:t>管理人员、技术人员能</w:t>
            </w:r>
            <w:r>
              <w:rPr>
                <w:rFonts w:hint="default" w:ascii="Times New Roman" w:hAnsi="Times New Roman" w:cs="Times New Roman"/>
                <w:color w:val="auto"/>
                <w:highlight w:val="none"/>
                <w:lang w:val="en-US" w:eastAsia="zh-CN"/>
              </w:rPr>
              <w:t>够有效实施管理体系，并运行和控制其过程。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查见“2021年度员工培训计划”，计划2021年开展管理体系内审员培训、环境、安全法律法规的培训、岗位技能培训、生产操作规程等</w:t>
            </w:r>
            <w:r>
              <w:rPr>
                <w:rFonts w:hint="eastAsia" w:cs="Times New Roman"/>
                <w:color w:val="auto"/>
                <w:highlight w:val="none"/>
                <w:lang w:val="en-US" w:eastAsia="zh-CN"/>
              </w:rPr>
              <w:t>10</w:t>
            </w:r>
            <w:r>
              <w:rPr>
                <w:rFonts w:hint="default" w:ascii="Times New Roman" w:hAnsi="Times New Roman" w:cs="Times New Roman"/>
                <w:color w:val="auto"/>
                <w:highlight w:val="none"/>
                <w:lang w:val="en-US" w:eastAsia="zh-CN"/>
              </w:rPr>
              <w:t>项次；</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查“培训记录及培训效果评价表”，抽见：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szCs w:val="21"/>
                <w:lang w:val="en-US" w:eastAsia="zh-CN"/>
              </w:rPr>
            </w:pPr>
            <w:r>
              <w:rPr>
                <w:rFonts w:hint="default" w:ascii="Times New Roman" w:hAnsi="Times New Roman" w:cs="Times New Roman"/>
                <w:color w:val="auto"/>
                <w:szCs w:val="22"/>
                <w:highlight w:val="none"/>
                <w:lang w:val="en-US" w:eastAsia="zh-CN"/>
              </w:rPr>
              <w:t>管理手册、程序文件</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2021.</w:t>
            </w:r>
            <w:r>
              <w:rPr>
                <w:rFonts w:hint="eastAsia" w:cs="Times New Roman"/>
                <w:color w:val="auto"/>
                <w:szCs w:val="22"/>
                <w:highlight w:val="none"/>
                <w:lang w:val="en-US" w:eastAsia="zh-CN"/>
              </w:rPr>
              <w:t>4</w:t>
            </w:r>
            <w:r>
              <w:rPr>
                <w:rFonts w:hint="default" w:ascii="Times New Roman" w:hAnsi="Times New Roman" w:cs="Times New Roman"/>
                <w:color w:val="auto"/>
                <w:szCs w:val="22"/>
                <w:highlight w:val="none"/>
                <w:lang w:val="en-US" w:eastAsia="zh-CN"/>
              </w:rPr>
              <w:t>.2</w:t>
            </w:r>
            <w:r>
              <w:rPr>
                <w:rFonts w:hint="eastAsia"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管理手册、程序文件、管理制度</w:t>
            </w:r>
            <w:r>
              <w:rPr>
                <w:rFonts w:hint="default" w:ascii="Times New Roman" w:hAnsi="Times New Roman" w:cs="Times New Roman"/>
                <w:color w:val="auto"/>
                <w:szCs w:val="22"/>
                <w:highlight w:val="none"/>
                <w:lang w:val="en-US" w:eastAsia="zh-CN"/>
              </w:rPr>
              <w:t>培训</w:t>
            </w:r>
            <w:r>
              <w:rPr>
                <w:rFonts w:hint="eastAsia" w:cs="Times New Roman"/>
                <w:color w:val="auto"/>
                <w:szCs w:val="22"/>
                <w:highlight w:val="none"/>
                <w:lang w:val="en-US" w:eastAsia="zh-CN"/>
              </w:rPr>
              <w:t>——</w:t>
            </w:r>
            <w:r>
              <w:rPr>
                <w:rFonts w:hint="default" w:ascii="Times New Roman" w:hAnsi="Times New Roman" w:cs="Times New Roman"/>
                <w:color w:val="auto"/>
                <w:szCs w:val="22"/>
                <w:highlight w:val="none"/>
                <w:lang w:val="en-US" w:eastAsia="zh-CN"/>
              </w:rPr>
              <w:t>2021.</w:t>
            </w:r>
            <w:r>
              <w:rPr>
                <w:rFonts w:hint="eastAsia" w:cs="Times New Roman"/>
                <w:color w:val="auto"/>
                <w:szCs w:val="22"/>
                <w:highlight w:val="none"/>
                <w:lang w:val="en-US" w:eastAsia="zh-CN"/>
              </w:rPr>
              <w:t>4</w:t>
            </w:r>
            <w:r>
              <w:rPr>
                <w:rFonts w:hint="default" w:ascii="Times New Roman" w:hAnsi="Times New Roman" w:cs="Times New Roman"/>
                <w:color w:val="auto"/>
                <w:szCs w:val="22"/>
                <w:highlight w:val="none"/>
                <w:lang w:val="en-US" w:eastAsia="zh-CN"/>
              </w:rPr>
              <w:t>.2</w:t>
            </w:r>
            <w:r>
              <w:rPr>
                <w:rFonts w:hint="eastAsia" w:cs="Times New Roman"/>
                <w:color w:val="auto"/>
                <w:szCs w:val="22"/>
                <w:highlight w:val="none"/>
                <w:lang w:val="en-US" w:eastAsia="zh-CN"/>
              </w:rPr>
              <w:t>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default" w:cs="Times New Roman"/>
                <w:color w:val="auto"/>
                <w:szCs w:val="22"/>
                <w:highlight w:val="none"/>
                <w:lang w:val="en-US" w:eastAsia="zh-CN"/>
              </w:rPr>
              <w:t>公司</w:t>
            </w:r>
            <w:r>
              <w:rPr>
                <w:rFonts w:hint="eastAsia" w:cs="Times New Roman"/>
                <w:color w:val="auto"/>
                <w:szCs w:val="22"/>
                <w:highlight w:val="none"/>
                <w:lang w:val="en-US" w:eastAsia="zh-CN"/>
              </w:rPr>
              <w:t>风险机遇</w:t>
            </w:r>
            <w:r>
              <w:rPr>
                <w:rFonts w:hint="default" w:cs="Times New Roman"/>
                <w:color w:val="auto"/>
                <w:szCs w:val="22"/>
                <w:highlight w:val="none"/>
                <w:lang w:val="en-US" w:eastAsia="zh-CN"/>
              </w:rPr>
              <w:t>的培训</w:t>
            </w:r>
            <w:r>
              <w:rPr>
                <w:rFonts w:hint="eastAsia" w:cs="Times New Roman"/>
                <w:color w:val="auto"/>
                <w:szCs w:val="22"/>
                <w:highlight w:val="none"/>
                <w:lang w:val="en-US" w:eastAsia="zh-CN"/>
              </w:rPr>
              <w:t>——</w:t>
            </w:r>
            <w:r>
              <w:rPr>
                <w:rFonts w:hint="default" w:cs="Times New Roman"/>
                <w:color w:val="auto"/>
                <w:szCs w:val="22"/>
                <w:highlight w:val="none"/>
                <w:lang w:val="en-US" w:eastAsia="zh-CN"/>
              </w:rPr>
              <w:t>2021.</w:t>
            </w:r>
            <w:r>
              <w:rPr>
                <w:rFonts w:hint="eastAsia" w:cs="Times New Roman"/>
                <w:color w:val="auto"/>
                <w:szCs w:val="22"/>
                <w:highlight w:val="none"/>
                <w:lang w:val="en-US" w:eastAsia="zh-CN"/>
              </w:rPr>
              <w:t>5</w:t>
            </w:r>
            <w:r>
              <w:rPr>
                <w:rFonts w:hint="default" w:cs="Times New Roman"/>
                <w:color w:val="auto"/>
                <w:szCs w:val="22"/>
                <w:highlight w:val="none"/>
                <w:lang w:val="en-US" w:eastAsia="zh-CN"/>
              </w:rPr>
              <w:t>.</w:t>
            </w:r>
            <w:r>
              <w:rPr>
                <w:rFonts w:hint="eastAsia" w:cs="Times New Roman"/>
                <w:color w:val="auto"/>
                <w:szCs w:val="22"/>
                <w:highlight w:val="none"/>
                <w:lang w:val="en-US" w:eastAsia="zh-CN"/>
              </w:rPr>
              <w:t>2</w:t>
            </w:r>
            <w:r>
              <w:rPr>
                <w:rFonts w:hint="default" w:cs="Times New Roman"/>
                <w:color w:val="auto"/>
                <w:szCs w:val="22"/>
                <w:highlight w:val="none"/>
                <w:lang w:val="en-US" w:eastAsia="zh-CN"/>
              </w:rPr>
              <w:t>6</w:t>
            </w:r>
            <w:r>
              <w:rPr>
                <w:rFonts w:hint="eastAsia"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default" w:cs="Times New Roman"/>
                <w:color w:val="auto"/>
                <w:szCs w:val="22"/>
                <w:highlight w:val="none"/>
                <w:lang w:val="en-US" w:eastAsia="zh-CN"/>
              </w:rPr>
              <w:t>公司</w:t>
            </w:r>
            <w:r>
              <w:rPr>
                <w:rFonts w:hint="eastAsia" w:cs="Times New Roman"/>
                <w:color w:val="auto"/>
                <w:szCs w:val="22"/>
                <w:highlight w:val="none"/>
                <w:lang w:val="en-US" w:eastAsia="zh-CN"/>
              </w:rPr>
              <w:t>方针、目标</w:t>
            </w:r>
            <w:r>
              <w:rPr>
                <w:rFonts w:hint="default" w:cs="Times New Roman"/>
                <w:color w:val="auto"/>
                <w:szCs w:val="22"/>
                <w:highlight w:val="none"/>
                <w:lang w:val="en-US" w:eastAsia="zh-CN"/>
              </w:rPr>
              <w:t>的培训</w:t>
            </w:r>
            <w:r>
              <w:rPr>
                <w:rFonts w:hint="eastAsia" w:cs="Times New Roman"/>
                <w:color w:val="auto"/>
                <w:szCs w:val="22"/>
                <w:highlight w:val="none"/>
                <w:lang w:val="en-US" w:eastAsia="zh-CN"/>
              </w:rPr>
              <w:t>——</w:t>
            </w:r>
            <w:r>
              <w:rPr>
                <w:rFonts w:hint="default" w:cs="Times New Roman"/>
                <w:color w:val="auto"/>
                <w:szCs w:val="22"/>
                <w:highlight w:val="none"/>
                <w:lang w:val="en-US" w:eastAsia="zh-CN"/>
              </w:rPr>
              <w:t>2021.</w:t>
            </w:r>
            <w:r>
              <w:rPr>
                <w:rFonts w:hint="eastAsia" w:cs="Times New Roman"/>
                <w:color w:val="auto"/>
                <w:szCs w:val="22"/>
                <w:highlight w:val="none"/>
                <w:lang w:val="en-US" w:eastAsia="zh-CN"/>
              </w:rPr>
              <w:t>6</w:t>
            </w:r>
            <w:r>
              <w:rPr>
                <w:rFonts w:hint="default" w:cs="Times New Roman"/>
                <w:color w:val="auto"/>
                <w:szCs w:val="22"/>
                <w:highlight w:val="none"/>
                <w:lang w:val="en-US" w:eastAsia="zh-CN"/>
              </w:rPr>
              <w:t>.</w:t>
            </w:r>
            <w:r>
              <w:rPr>
                <w:rFonts w:hint="eastAsia" w:cs="Times New Roman"/>
                <w:color w:val="auto"/>
                <w:szCs w:val="22"/>
                <w:highlight w:val="none"/>
                <w:lang w:val="en-US" w:eastAsia="zh-CN"/>
              </w:rPr>
              <w:t>27；</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default" w:cs="Times New Roman"/>
                <w:color w:val="auto"/>
                <w:szCs w:val="22"/>
                <w:highlight w:val="none"/>
                <w:lang w:val="en-US" w:eastAsia="zh-CN"/>
              </w:rPr>
              <w:t>公司</w:t>
            </w:r>
            <w:r>
              <w:rPr>
                <w:rFonts w:hint="eastAsia" w:cs="Times New Roman"/>
                <w:color w:val="auto"/>
                <w:szCs w:val="22"/>
                <w:highlight w:val="none"/>
                <w:lang w:val="en-US" w:eastAsia="zh-CN"/>
              </w:rPr>
              <w:t>环境、安全法律法规和内审员</w:t>
            </w:r>
            <w:r>
              <w:rPr>
                <w:rFonts w:hint="default" w:cs="Times New Roman"/>
                <w:color w:val="auto"/>
                <w:szCs w:val="22"/>
                <w:highlight w:val="none"/>
                <w:lang w:val="en-US" w:eastAsia="zh-CN"/>
              </w:rPr>
              <w:t>的培训</w:t>
            </w:r>
            <w:r>
              <w:rPr>
                <w:rFonts w:hint="eastAsia" w:cs="Times New Roman"/>
                <w:color w:val="auto"/>
                <w:szCs w:val="22"/>
                <w:highlight w:val="none"/>
                <w:lang w:val="en-US" w:eastAsia="zh-CN"/>
              </w:rPr>
              <w:t>——</w:t>
            </w:r>
            <w:r>
              <w:rPr>
                <w:rFonts w:hint="default" w:cs="Times New Roman"/>
                <w:color w:val="auto"/>
                <w:szCs w:val="22"/>
                <w:highlight w:val="none"/>
                <w:lang w:val="en-US" w:eastAsia="zh-CN"/>
              </w:rPr>
              <w:t>2021.</w:t>
            </w:r>
            <w:r>
              <w:rPr>
                <w:rFonts w:hint="eastAsia" w:cs="Times New Roman"/>
                <w:color w:val="auto"/>
                <w:szCs w:val="22"/>
                <w:highlight w:val="none"/>
                <w:lang w:val="en-US" w:eastAsia="zh-CN"/>
              </w:rPr>
              <w:t>7</w:t>
            </w:r>
            <w:r>
              <w:rPr>
                <w:rFonts w:hint="default" w:cs="Times New Roman"/>
                <w:color w:val="auto"/>
                <w:szCs w:val="22"/>
                <w:highlight w:val="none"/>
                <w:lang w:val="en-US" w:eastAsia="zh-CN"/>
              </w:rPr>
              <w:t>.</w:t>
            </w:r>
            <w:r>
              <w:rPr>
                <w:rFonts w:hint="eastAsia" w:cs="Times New Roman"/>
                <w:color w:val="auto"/>
                <w:szCs w:val="22"/>
                <w:highlight w:val="none"/>
                <w:lang w:val="en-US" w:eastAsia="zh-CN"/>
              </w:rPr>
              <w:t>5；</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考核及评价记录显示以口头问答的方式对培训效果进行了评价，培训达到预期的目的。</w:t>
            </w:r>
          </w:p>
          <w:p>
            <w:pPr>
              <w:pStyle w:val="3"/>
              <w:rPr>
                <w:rFonts w:hint="default"/>
                <w:color w:val="auto"/>
                <w:lang w:val="en-US" w:eastAsia="zh-CN"/>
              </w:rPr>
            </w:pPr>
            <w:r>
              <w:rPr>
                <w:rFonts w:hint="eastAsia"/>
                <w:color w:val="auto"/>
                <w:lang w:val="en-US" w:eastAsia="zh-CN"/>
              </w:rPr>
              <w:t>经交流了解，公司制定</w:t>
            </w:r>
            <w:bookmarkStart w:id="1" w:name="_GoBack"/>
            <w:bookmarkEnd w:id="1"/>
            <w:r>
              <w:rPr>
                <w:rFonts w:hint="eastAsia"/>
                <w:color w:val="auto"/>
                <w:lang w:val="en-US" w:eastAsia="zh-CN"/>
              </w:rPr>
              <w:t>了员工三级安全教育制度，今年没有新进员工。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查见人员证书：</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曾初升——安全生产管理人员，安全生产考核合格证书，2021.03.2，泉州市安全生产监督管理局；</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张顺星——低压电工，2024.1.6，福建省特种作业人员考核发证章；</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意识：</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经与部门负责人沟通交流，主要通过培训提高岗位作业水平和环保、安全意识，询问部分员工，他们对公司的管理方针、管理目标、对环境、职业健康安全管理体系有效性的贡献，包括提高效率、技能带来的节能减排、保护员工健康等的益处，以及因自己岗位职责疏忽带来不符合给公司环境安全承诺带来的后果。</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员工能明确自身职责及岗位要求，自身工作影响，如何减少环境污染，员工人身安全意识等。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zCs w:val="22"/>
                <w:highlight w:val="none"/>
                <w:lang w:val="en-US" w:eastAsia="zh-CN"/>
              </w:rPr>
              <w:t>基本能满足要求。</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0000FF"/>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组织知识</w:t>
            </w:r>
          </w:p>
        </w:tc>
        <w:tc>
          <w:tcPr>
            <w:tcW w:w="1093"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pacing w:val="-6"/>
                <w:kern w:val="2"/>
                <w:sz w:val="21"/>
                <w:szCs w:val="21"/>
                <w:lang w:val="en-US" w:eastAsia="zh-CN" w:bidi="ar-SA"/>
              </w:rPr>
              <w:t>Q</w:t>
            </w:r>
            <w:r>
              <w:rPr>
                <w:rFonts w:hint="default" w:ascii="Times New Roman" w:hAnsi="Times New Roman" w:cs="Times New Roman"/>
                <w:color w:val="auto"/>
                <w:spacing w:val="-6"/>
                <w:kern w:val="2"/>
                <w:sz w:val="21"/>
                <w:szCs w:val="21"/>
                <w:lang w:val="en-US" w:eastAsia="zh-CN" w:bidi="ar-SA"/>
              </w:rPr>
              <w:t>:</w:t>
            </w:r>
            <w:r>
              <w:rPr>
                <w:rFonts w:hint="default" w:ascii="Times New Roman" w:hAnsi="Times New Roman" w:eastAsia="宋体" w:cs="Times New Roman"/>
                <w:color w:val="auto"/>
                <w:spacing w:val="-6"/>
                <w:kern w:val="2"/>
                <w:sz w:val="21"/>
                <w:szCs w:val="21"/>
                <w:lang w:val="en-US" w:eastAsia="zh-CN" w:bidi="ar-SA"/>
              </w:rPr>
              <w:t>7.1.6</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各部门按照职责从内外部各种渠道获得与其职责相关所需的知识，包括操作规程、管理技巧与经验、失败和事故的案例分析、科研成果、商标等；把知识形成各种规章制度用于指导公司的日常工作和管理，包括体系文件、支持性文件、各种记录表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从内部来源获取的有：多年的工作经验、教训、内部的知识产权等；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外部来源获取有：标杆对比、行业会议、客户技术要求、咨询老师传授的体系知识及所实施的内审员的培训；顾客方提供的资料等。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cs="Times New Roman"/>
                <w:color w:val="auto"/>
                <w:szCs w:val="22"/>
                <w:highlight w:val="none"/>
                <w:lang w:val="en-US" w:eastAsia="zh-CN"/>
              </w:rPr>
              <w:t>企业正在申请16项专利+1项发明。</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在应对变化的需求和趋势时，相关部门考虑现有的知识，确定如何获取更多的必要的额外知识，并根据变化的情况及时更新。</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spacing w:val="-6"/>
                <w:sz w:val="21"/>
                <w:szCs w:val="21"/>
                <w:u w:val="none"/>
              </w:rPr>
              <w:t>运行策划和控制</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8.1</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公司策划了环境安全管理相关程序文件和管理制度：运行控制程序、废弃物控制程序、噪声控制程序、消防控制程序、资源能源控制程序、应急准备和响应控制程序等；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现场观察：</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宋体" w:hAnsi="宋体" w:eastAsia="宋体" w:cs="Arial"/>
                <w:spacing w:val="-6"/>
                <w:sz w:val="21"/>
                <w:szCs w:val="21"/>
                <w:highlight w:val="none"/>
                <w:lang w:val="en-US" w:eastAsia="zh-CN"/>
              </w:rPr>
              <w:t>办公面积大约</w:t>
            </w:r>
            <w:r>
              <w:rPr>
                <w:rFonts w:hint="eastAsia" w:ascii="宋体" w:hAnsi="宋体" w:cs="Arial"/>
                <w:spacing w:val="-6"/>
                <w:sz w:val="21"/>
                <w:szCs w:val="21"/>
                <w:highlight w:val="none"/>
                <w:lang w:val="en-US" w:eastAsia="zh-CN"/>
              </w:rPr>
              <w:t>354</w:t>
            </w:r>
            <w:r>
              <w:rPr>
                <w:rFonts w:hint="eastAsia" w:ascii="宋体" w:hAnsi="宋体" w:eastAsia="宋体" w:cs="Arial"/>
                <w:spacing w:val="-6"/>
                <w:sz w:val="21"/>
                <w:szCs w:val="21"/>
                <w:highlight w:val="none"/>
                <w:lang w:val="en-US" w:eastAsia="zh-CN"/>
              </w:rPr>
              <w:t>平方米，工作场所布局合理，座椅和办公桌符合人体工程学要求，员工有自我防护意识，工间能适当走动、休息；各</w:t>
            </w:r>
            <w:r>
              <w:rPr>
                <w:rFonts w:hint="eastAsia" w:ascii="宋体" w:hAnsi="宋体" w:cs="Arial"/>
                <w:spacing w:val="-6"/>
                <w:sz w:val="21"/>
                <w:szCs w:val="21"/>
                <w:highlight w:val="none"/>
                <w:lang w:val="en-US" w:eastAsia="zh-CN"/>
              </w:rPr>
              <w:t>工作人员</w:t>
            </w:r>
            <w:r>
              <w:rPr>
                <w:rFonts w:hint="eastAsia" w:ascii="宋体" w:hAnsi="宋体" w:eastAsia="宋体" w:cs="Arial"/>
                <w:spacing w:val="-6"/>
                <w:sz w:val="21"/>
                <w:szCs w:val="21"/>
                <w:highlight w:val="none"/>
                <w:lang w:val="en-US" w:eastAsia="zh-CN"/>
              </w:rPr>
              <w:t>坐姿正确，避免过度疲劳；电脑显示器调整到保护视力的颜色；配置有适量的绿植，办公环境光照、温度适宜，通风良好，办公场所物品摆放整齐、有序，未见随意乱放私人物品的情况；满足办公需求</w:t>
            </w:r>
            <w:r>
              <w:rPr>
                <w:rFonts w:hint="eastAsia" w:ascii="宋体" w:hAnsi="宋体" w:cs="Arial"/>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b w:val="0"/>
                <w:color w:val="auto"/>
                <w:kern w:val="2"/>
                <w:sz w:val="21"/>
                <w:szCs w:val="22"/>
                <w:lang w:val="en-US" w:eastAsia="zh-CN" w:bidi="ar-SA"/>
              </w:rPr>
            </w:pPr>
            <w:r>
              <w:rPr>
                <w:rFonts w:hint="default" w:ascii="Times New Roman" w:hAnsi="Times New Roman" w:eastAsia="宋体" w:cs="Times New Roman"/>
                <w:b w:val="0"/>
                <w:kern w:val="2"/>
                <w:sz w:val="21"/>
                <w:szCs w:val="22"/>
                <w:lang w:val="en-US" w:eastAsia="zh-CN" w:bidi="ar-SA"/>
              </w:rPr>
              <w:t>电路、电源正常，电路布线合理、电气插座完整，未见破损，无乱拉乱接电线、使用超额电气等现象；未见用电不当等安全隐患及不良影响现</w:t>
            </w:r>
            <w:r>
              <w:rPr>
                <w:rFonts w:hint="default" w:ascii="Times New Roman" w:hAnsi="Times New Roman" w:eastAsia="宋体" w:cs="Times New Roman"/>
                <w:b w:val="0"/>
                <w:color w:val="auto"/>
                <w:kern w:val="2"/>
                <w:sz w:val="21"/>
                <w:szCs w:val="22"/>
                <w:lang w:val="en-US" w:eastAsia="zh-CN" w:bidi="ar-SA"/>
              </w:rPr>
              <w:t>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查见配置有灭火器，状态良好</w:t>
            </w:r>
            <w:r>
              <w:rPr>
                <w:rFonts w:hint="eastAsia" w:ascii="Times New Roman" w:hAnsi="Times New Roman" w:cs="Times New Roman"/>
                <w:color w:val="auto"/>
                <w:szCs w:val="22"/>
                <w:highlight w:val="none"/>
                <w:lang w:val="en-US" w:eastAsia="zh-CN"/>
              </w:rPr>
              <w:t>。</w:t>
            </w:r>
          </w:p>
          <w:p>
            <w:pPr>
              <w:pStyle w:val="3"/>
              <w:rPr>
                <w:rFonts w:hint="eastAsia"/>
                <w:lang w:val="en-US" w:eastAsia="zh-CN"/>
              </w:rPr>
            </w:pPr>
            <w:r>
              <w:rPr>
                <w:rFonts w:hint="eastAsia" w:cs="Times New Roman"/>
                <w:color w:val="auto"/>
                <w:szCs w:val="22"/>
                <w:highlight w:val="none"/>
                <w:lang w:val="en-US" w:eastAsia="zh-CN"/>
              </w:rPr>
              <w:t>消防通道、应急指示良好，</w:t>
            </w:r>
            <w:r>
              <w:rPr>
                <w:rFonts w:hint="eastAsia"/>
                <w:lang w:val="en-US" w:eastAsia="zh-CN"/>
              </w:rPr>
              <w:t>监控摄像头运行正常；</w:t>
            </w:r>
          </w:p>
          <w:p>
            <w:pPr>
              <w:pStyle w:val="3"/>
              <w:rPr>
                <w:rFonts w:hint="eastAsia" w:cs="Times New Roman"/>
                <w:color w:val="auto"/>
                <w:szCs w:val="22"/>
                <w:highlight w:val="none"/>
                <w:lang w:val="en-US" w:eastAsia="zh-CN"/>
              </w:rPr>
            </w:pPr>
            <w:r>
              <w:rPr>
                <w:rFonts w:hint="eastAsia" w:cs="Times New Roman"/>
                <w:color w:val="auto"/>
                <w:szCs w:val="22"/>
                <w:highlight w:val="none"/>
                <w:lang w:val="en-US" w:eastAsia="zh-CN"/>
              </w:rPr>
              <w:t>查见“劳保用品领用登记表”，见发放了工作服、手套、口罩、耳塞等，有发放人和领用人签字；</w:t>
            </w:r>
          </w:p>
          <w:p>
            <w:pPr>
              <w:pStyle w:val="3"/>
              <w:rPr>
                <w:rFonts w:hint="eastAsia" w:cs="Times New Roman"/>
                <w:color w:val="auto"/>
                <w:szCs w:val="22"/>
                <w:highlight w:val="none"/>
                <w:lang w:val="en-US" w:eastAsia="zh-CN"/>
              </w:rPr>
            </w:pPr>
            <w:r>
              <w:rPr>
                <w:rFonts w:hint="eastAsia" w:cs="Times New Roman"/>
                <w:color w:val="auto"/>
                <w:szCs w:val="22"/>
                <w:highlight w:val="none"/>
                <w:lang w:val="en-US" w:eastAsia="zh-CN"/>
              </w:rPr>
              <w:t>介绍说，劳保用品的发放是根据需要领取，未制定发放标准，交流；</w:t>
            </w:r>
          </w:p>
          <w:p>
            <w:pPr>
              <w:pStyle w:val="3"/>
              <w:rPr>
                <w:rFonts w:hint="default" w:cs="Times New Roman"/>
                <w:color w:val="auto"/>
                <w:szCs w:val="22"/>
                <w:highlight w:val="none"/>
                <w:lang w:val="en-US" w:eastAsia="zh-CN"/>
              </w:rPr>
            </w:pPr>
            <w:r>
              <w:rPr>
                <w:rFonts w:hint="eastAsia" w:cs="Times New Roman"/>
                <w:color w:val="auto"/>
                <w:szCs w:val="22"/>
                <w:highlight w:val="none"/>
                <w:lang w:val="en-US" w:eastAsia="zh-CN"/>
              </w:rPr>
              <w:t>查见固体废弃物回收、处理记录，对复印纸、电池、废硒鼓等数量、处理方式、回收日期和经办人进行了登记。</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节约用水用电、纸张双面使用</w:t>
            </w:r>
            <w:r>
              <w:rPr>
                <w:rFonts w:hint="eastAsia"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生活废水经市政管网排放；</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办公环境安静，无明显噪声和废气；</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办公垃圾由环卫部门收集处理；</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办公用墨盒硒鼓等危废以旧换新；</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对部门员工进行了不定期的交通安全宣传；</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查见“相关方告知书”，有效文件，对供方进行了环境和职业健康安全有关事项的沟通。</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eastAsia" w:cs="Times New Roman"/>
                <w:color w:val="0000FF"/>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kern w:val="2"/>
                <w:sz w:val="21"/>
                <w:lang w:val="en-US" w:eastAsia="zh-CN" w:bidi="ar-SA"/>
              </w:rPr>
            </w:pPr>
            <w:r>
              <w:rPr>
                <w:rFonts w:hint="eastAsia" w:ascii="Times New Roman" w:hAnsi="Times New Roman" w:cs="Times New Roman"/>
                <w:color w:val="auto"/>
                <w:spacing w:val="-6"/>
                <w:sz w:val="21"/>
                <w:szCs w:val="21"/>
                <w:u w:val="none"/>
                <w:lang w:eastAsia="zh-CN"/>
              </w:rPr>
              <w:t>应急准备和响应</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sz w:val="21"/>
                <w:szCs w:val="21"/>
                <w:u w:val="none"/>
                <w:lang w:val="en-US" w:eastAsia="zh-CN"/>
              </w:rPr>
              <w:t>EO:</w:t>
            </w:r>
            <w:r>
              <w:rPr>
                <w:rFonts w:hint="default" w:ascii="Times New Roman" w:hAnsi="Times New Roman" w:cs="Times New Roman"/>
                <w:color w:val="auto"/>
                <w:spacing w:val="-6"/>
                <w:sz w:val="21"/>
                <w:szCs w:val="21"/>
                <w:u w:val="none"/>
              </w:rPr>
              <w:t>8.</w:t>
            </w:r>
            <w:r>
              <w:rPr>
                <w:rFonts w:hint="eastAsia" w:ascii="Times New Roman" w:hAnsi="Times New Roman" w:cs="Times New Roman"/>
                <w:color w:val="auto"/>
                <w:spacing w:val="-6"/>
                <w:sz w:val="21"/>
                <w:szCs w:val="21"/>
                <w:u w:val="none"/>
                <w:lang w:val="en-US" w:eastAsia="zh-CN"/>
              </w:rPr>
              <w:t>2</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yellow"/>
                <w:lang w:val="en-US" w:eastAsia="zh-CN" w:bidi="ar-SA"/>
              </w:rPr>
            </w:pPr>
            <w:r>
              <w:rPr>
                <w:rFonts w:hint="eastAsia" w:cs="Times New Roman" w:eastAsiaTheme="minorEastAsia"/>
                <w:color w:val="auto"/>
                <w:sz w:val="21"/>
                <w:szCs w:val="21"/>
                <w:lang w:val="en-US" w:eastAsia="zh-CN"/>
              </w:rPr>
              <w:t>见生产部审核记录。</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成文信息</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lang w:val="en-US" w:eastAsia="zh-CN"/>
              </w:rPr>
            </w:pPr>
            <w:r>
              <w:rPr>
                <w:rFonts w:hint="default"/>
                <w:lang w:val="en-US" w:eastAsia="zh-CN"/>
              </w:rPr>
              <w:t>QEO:7.5</w:t>
            </w:r>
          </w:p>
          <w:p>
            <w:pPr>
              <w:pStyle w:val="2"/>
              <w:rPr>
                <w:rFonts w:hint="default"/>
                <w:lang w:val="en-US" w:eastAsia="zh-CN"/>
              </w:rPr>
            </w:pPr>
            <w:r>
              <w:rPr>
                <w:rFonts w:hint="eastAsia" w:cs="Times New Roman"/>
                <w:color w:val="auto"/>
                <w:spacing w:val="-6"/>
                <w:sz w:val="21"/>
                <w:szCs w:val="21"/>
                <w:lang w:val="en-US" w:eastAsia="zh-CN"/>
              </w:rPr>
              <w:t>8.1</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为应对相应风险和机遇，公司依据GB/T19001-2016、GB/T24001-2016、GB/T45001-2020标准的要求并结合本公司的具体情况，采取PDCA的过程方法，建立、实施、保持并持续改进环境、职业健康安全管理体系。</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策划了工艺流程：</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default" w:cs="Times New Roman"/>
                <w:color w:val="auto"/>
                <w:szCs w:val="22"/>
                <w:highlight w:val="none"/>
                <w:lang w:val="en-US" w:eastAsia="zh-CN"/>
              </w:rPr>
              <w:t>采购 → 蜂窝拉伸与铝板组合→  组合热压（200高温）→ 打磨切割修边→蜂窝岩板复合 → 切割打磨→ 成品检验→ 包装出货</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cs="Times New Roman"/>
                <w:color w:val="auto"/>
                <w:szCs w:val="22"/>
                <w:highlight w:val="none"/>
                <w:lang w:val="en-US" w:eastAsia="zh-CN"/>
              </w:rPr>
            </w:pPr>
            <w:r>
              <w:rPr>
                <w:rFonts w:hint="eastAsia" w:cs="Times New Roman"/>
                <w:color w:val="auto"/>
                <w:szCs w:val="22"/>
                <w:highlight w:val="none"/>
                <w:lang w:val="en-US" w:eastAsia="zh-CN"/>
              </w:rPr>
              <w:t>策划了与业务流程相关的环境因素、危险源辨识、风险评价的程序文件和控制措施；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策划了公司的管理体系文件，包括：</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编制《管理手册》</w:t>
            </w:r>
            <w:r>
              <w:rPr>
                <w:rFonts w:hint="eastAsia" w:cs="Times New Roman"/>
                <w:color w:val="auto"/>
                <w:szCs w:val="22"/>
                <w:highlight w:val="none"/>
                <w:lang w:val="en-US" w:eastAsia="zh-CN"/>
              </w:rPr>
              <w:t>A1</w:t>
            </w:r>
            <w:r>
              <w:rPr>
                <w:rFonts w:hint="eastAsia" w:ascii="Times New Roman" w:hAnsi="Times New Roman" w:cs="Times New Roman"/>
                <w:color w:val="auto"/>
                <w:szCs w:val="22"/>
                <w:highlight w:val="none"/>
                <w:lang w:val="en-US" w:eastAsia="zh-CN"/>
              </w:rPr>
              <w:t>版，管理体系于202</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年0</w:t>
            </w:r>
            <w:r>
              <w:rPr>
                <w:rFonts w:hint="eastAsia" w:cs="Times New Roman"/>
                <w:color w:val="auto"/>
                <w:szCs w:val="22"/>
                <w:highlight w:val="none"/>
                <w:lang w:val="en-US" w:eastAsia="zh-CN"/>
              </w:rPr>
              <w:t>4</w:t>
            </w:r>
            <w:r>
              <w:rPr>
                <w:rFonts w:hint="eastAsia" w:ascii="Times New Roman" w:hAnsi="Times New Roman" w:cs="Times New Roman"/>
                <w:color w:val="auto"/>
                <w:szCs w:val="22"/>
                <w:highlight w:val="none"/>
                <w:lang w:val="en-US" w:eastAsia="zh-CN"/>
              </w:rPr>
              <w:t>月</w:t>
            </w:r>
            <w:r>
              <w:rPr>
                <w:rFonts w:hint="eastAsia" w:cs="Times New Roman"/>
                <w:color w:val="auto"/>
                <w:szCs w:val="22"/>
                <w:highlight w:val="none"/>
                <w:lang w:val="en-US" w:eastAsia="zh-CN"/>
              </w:rPr>
              <w:t>2</w:t>
            </w:r>
            <w:r>
              <w:rPr>
                <w:rFonts w:hint="eastAsia" w:ascii="Times New Roman" w:hAnsi="Times New Roman" w:cs="Times New Roman"/>
                <w:color w:val="auto"/>
                <w:szCs w:val="22"/>
                <w:highlight w:val="none"/>
                <w:lang w:val="en-US" w:eastAsia="zh-CN"/>
              </w:rPr>
              <w:t>日发布实施；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编制程序文件</w:t>
            </w:r>
            <w:r>
              <w:rPr>
                <w:rFonts w:hint="eastAsia" w:cs="Times New Roman"/>
                <w:color w:val="auto"/>
                <w:szCs w:val="22"/>
                <w:highlight w:val="none"/>
                <w:lang w:val="en-US" w:eastAsia="zh-CN"/>
              </w:rPr>
              <w:t>31</w:t>
            </w:r>
            <w:r>
              <w:rPr>
                <w:rFonts w:hint="eastAsia" w:ascii="Times New Roman" w:hAnsi="Times New Roman" w:cs="Times New Roman"/>
                <w:color w:val="auto"/>
                <w:szCs w:val="22"/>
                <w:highlight w:val="none"/>
                <w:lang w:val="en-US" w:eastAsia="zh-CN"/>
              </w:rPr>
              <w:t>个，版本号：</w:t>
            </w:r>
            <w:r>
              <w:rPr>
                <w:rFonts w:hint="eastAsia" w:cs="Times New Roman"/>
                <w:color w:val="auto"/>
                <w:szCs w:val="22"/>
                <w:highlight w:val="none"/>
                <w:lang w:val="en-US" w:eastAsia="zh-CN"/>
              </w:rPr>
              <w:t>A1</w:t>
            </w:r>
            <w:r>
              <w:rPr>
                <w:rFonts w:hint="eastAsia" w:ascii="Times New Roman" w:hAnsi="Times New Roman" w:cs="Times New Roman"/>
                <w:color w:val="auto"/>
                <w:szCs w:val="22"/>
                <w:highlight w:val="none"/>
                <w:lang w:val="en-US" w:eastAsia="zh-CN"/>
              </w:rPr>
              <w:t>，202</w:t>
            </w:r>
            <w:r>
              <w:rPr>
                <w:rFonts w:hint="eastAsia" w:cs="Times New Roman"/>
                <w:color w:val="auto"/>
                <w:szCs w:val="22"/>
                <w:highlight w:val="none"/>
                <w:lang w:val="en-US" w:eastAsia="zh-CN"/>
              </w:rPr>
              <w:t>1</w:t>
            </w:r>
            <w:r>
              <w:rPr>
                <w:rFonts w:hint="eastAsia" w:ascii="Times New Roman" w:hAnsi="Times New Roman" w:cs="Times New Roman"/>
                <w:color w:val="auto"/>
                <w:szCs w:val="22"/>
                <w:highlight w:val="none"/>
                <w:lang w:val="en-US" w:eastAsia="zh-CN"/>
              </w:rPr>
              <w:t>年0</w:t>
            </w:r>
            <w:r>
              <w:rPr>
                <w:rFonts w:hint="eastAsia" w:cs="Times New Roman"/>
                <w:color w:val="auto"/>
                <w:szCs w:val="22"/>
                <w:highlight w:val="none"/>
                <w:lang w:val="en-US" w:eastAsia="zh-CN"/>
              </w:rPr>
              <w:t>4</w:t>
            </w:r>
            <w:r>
              <w:rPr>
                <w:rFonts w:hint="eastAsia" w:ascii="Times New Roman" w:hAnsi="Times New Roman" w:cs="Times New Roman"/>
                <w:color w:val="auto"/>
                <w:szCs w:val="22"/>
                <w:highlight w:val="none"/>
                <w:lang w:val="en-US" w:eastAsia="zh-CN"/>
              </w:rPr>
              <w:t>月</w:t>
            </w:r>
            <w:r>
              <w:rPr>
                <w:rFonts w:hint="eastAsia" w:cs="Times New Roman"/>
                <w:color w:val="auto"/>
                <w:szCs w:val="22"/>
                <w:highlight w:val="none"/>
                <w:lang w:val="en-US" w:eastAsia="zh-CN"/>
              </w:rPr>
              <w:t>2</w:t>
            </w:r>
            <w:r>
              <w:rPr>
                <w:rFonts w:hint="eastAsia" w:ascii="Times New Roman" w:hAnsi="Times New Roman" w:cs="Times New Roman"/>
                <w:color w:val="auto"/>
                <w:szCs w:val="22"/>
                <w:highlight w:val="none"/>
                <w:lang w:val="en-US" w:eastAsia="zh-CN"/>
              </w:rPr>
              <w:t>日实施；</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编制有管理文件：员工职业健康及劳动保护管理规定</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培训管理制度</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能源使用管理规定</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产品搬运、储存、防护操作规程</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设备管理制度</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安全防火规程</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安全生产管理制度</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质量管理制度</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特殊过程能力评价准则</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安全操作规程</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选择评价和重新评价供方的准则</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进货验收规范等；</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建立有外来文件清单，收集法律法规和技术标准、规范等；中华人民共和国产品质量法</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中华人民共和国安全生产法</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中华人民共和国环境保护法</w:t>
            </w:r>
            <w:r>
              <w:rPr>
                <w:rFonts w:hint="eastAsia" w:cs="Times New Roman"/>
                <w:color w:val="auto"/>
                <w:szCs w:val="22"/>
                <w:highlight w:val="none"/>
                <w:lang w:val="en-US" w:eastAsia="zh-CN"/>
              </w:rPr>
              <w:t>、</w:t>
            </w:r>
            <w:r>
              <w:rPr>
                <w:rFonts w:hint="eastAsia" w:ascii="Times New Roman" w:hAnsi="Times New Roman" w:cs="Times New Roman"/>
                <w:color w:val="auto"/>
                <w:szCs w:val="22"/>
                <w:highlight w:val="none"/>
                <w:lang w:val="en-US" w:eastAsia="zh-CN"/>
              </w:rPr>
              <w:t>中华人民共和国消防法</w:t>
            </w:r>
            <w:r>
              <w:rPr>
                <w:rFonts w:hint="eastAsia" w:cs="Times New Roman"/>
                <w:color w:val="auto"/>
                <w:szCs w:val="22"/>
                <w:highlight w:val="none"/>
                <w:lang w:val="en-US" w:eastAsia="zh-CN"/>
              </w:rPr>
              <w:t>、</w:t>
            </w:r>
            <w:r>
              <w:rPr>
                <w:rFonts w:hint="default" w:ascii="宋体" w:hAnsi="宋体" w:eastAsia="宋体" w:cs="Times New Roman"/>
                <w:b w:val="0"/>
                <w:bCs w:val="0"/>
                <w:color w:val="000000"/>
                <w:kern w:val="2"/>
                <w:sz w:val="21"/>
                <w:szCs w:val="21"/>
                <w:lang w:val="en-US" w:eastAsia="zh-CN" w:bidi="ar-SA"/>
              </w:rPr>
              <w:fldChar w:fldCharType="begin"/>
            </w:r>
            <w:r>
              <w:rPr>
                <w:rFonts w:hint="default" w:ascii="宋体" w:hAnsi="宋体" w:eastAsia="宋体" w:cs="Times New Roman"/>
                <w:b w:val="0"/>
                <w:bCs w:val="0"/>
                <w:color w:val="000000"/>
                <w:kern w:val="2"/>
                <w:sz w:val="21"/>
                <w:szCs w:val="21"/>
                <w:lang w:val="en-US" w:eastAsia="zh-CN" w:bidi="ar-SA"/>
              </w:rPr>
              <w:instrText xml:space="preserve"> HYPERLINK "https://www.so.com/link?m=bikhVyPNWsljoGV+VakomQ2apXAZSQrphu88nkgN28S8QrtBM32Q41A02lG4sm/F8izvN1DT2EIll03ZbK5ew99VLUMgDELXoFFPVToUKbJEV+1o4/BNjU5R2N+10zWZd0uwetW7X2iSLIby6+z3xt+/1K90evyZw1TVSDn0BsDw=" \t "https://www.so.com/_blank" </w:instrText>
            </w:r>
            <w:r>
              <w:rPr>
                <w:rFonts w:hint="default" w:ascii="宋体" w:hAnsi="宋体" w:eastAsia="宋体" w:cs="Times New Roman"/>
                <w:b w:val="0"/>
                <w:bCs w:val="0"/>
                <w:color w:val="000000"/>
                <w:kern w:val="2"/>
                <w:sz w:val="21"/>
                <w:szCs w:val="21"/>
                <w:lang w:val="en-US" w:eastAsia="zh-CN" w:bidi="ar-SA"/>
              </w:rPr>
              <w:fldChar w:fldCharType="separate"/>
            </w:r>
            <w:r>
              <w:rPr>
                <w:rFonts w:hint="default" w:ascii="宋体" w:hAnsi="宋体" w:eastAsia="宋体" w:cs="Times New Roman"/>
                <w:b w:val="0"/>
                <w:bCs w:val="0"/>
                <w:color w:val="000000"/>
                <w:kern w:val="2"/>
                <w:sz w:val="21"/>
                <w:szCs w:val="21"/>
                <w:lang w:val="en-US" w:eastAsia="zh-CN" w:bidi="ar-SA"/>
              </w:rPr>
              <w:t>GB 3198-1996 工业用纯铝箔标准</w:t>
            </w:r>
            <w:r>
              <w:rPr>
                <w:rFonts w:hint="default" w:ascii="宋体" w:hAnsi="宋体" w:eastAsia="宋体" w:cs="Times New Roman"/>
                <w:b w:val="0"/>
                <w:bCs w:val="0"/>
                <w:color w:val="000000"/>
                <w:kern w:val="2"/>
                <w:sz w:val="21"/>
                <w:szCs w:val="21"/>
                <w:lang w:val="en-US" w:eastAsia="zh-CN" w:bidi="ar-SA"/>
              </w:rPr>
              <w:fldChar w:fldCharType="end"/>
            </w:r>
            <w:r>
              <w:rPr>
                <w:rFonts w:hint="eastAsia" w:cs="Times New Roman"/>
                <w:color w:val="auto"/>
                <w:szCs w:val="22"/>
                <w:highlight w:val="none"/>
                <w:lang w:val="en-US" w:eastAsia="zh-CN"/>
              </w:rPr>
              <w:t>、</w:t>
            </w:r>
            <w:r>
              <w:rPr>
                <w:rFonts w:hint="eastAsia" w:ascii="宋体" w:hAnsi="宋体" w:eastAsia="宋体" w:cs="Times New Roman"/>
                <w:b w:val="0"/>
                <w:bCs w:val="0"/>
                <w:color w:val="000000"/>
                <w:kern w:val="2"/>
                <w:sz w:val="21"/>
                <w:szCs w:val="21"/>
                <w:lang w:val="en-US" w:eastAsia="zh-CN" w:bidi="ar-SA"/>
              </w:rPr>
              <w:t>GB T 3880</w:t>
            </w:r>
            <w:r>
              <w:rPr>
                <w:rFonts w:hint="default" w:ascii="宋体" w:hAnsi="宋体" w:eastAsia="宋体" w:cs="Times New Roman"/>
                <w:b w:val="0"/>
                <w:bCs w:val="0"/>
                <w:color w:val="000000"/>
                <w:kern w:val="2"/>
                <w:sz w:val="21"/>
                <w:szCs w:val="21"/>
                <w:lang w:val="en-US" w:eastAsia="zh-CN" w:bidi="ar-SA"/>
              </w:rPr>
              <w:t>.2-2006一般工业用铝及铝合金板、带材第2部分_力学性能标准</w:t>
            </w:r>
            <w:r>
              <w:rPr>
                <w:rFonts w:hint="eastAsia" w:cs="Times New Roman"/>
                <w:color w:val="auto"/>
                <w:szCs w:val="22"/>
                <w:highlight w:val="none"/>
                <w:lang w:val="en-US" w:eastAsia="zh-CN"/>
              </w:rPr>
              <w:t>、</w:t>
            </w:r>
            <w:r>
              <w:rPr>
                <w:rFonts w:hint="eastAsia" w:ascii="宋体" w:hAnsi="宋体" w:eastAsia="宋体" w:cs="Times New Roman"/>
                <w:b w:val="0"/>
                <w:bCs w:val="0"/>
                <w:color w:val="000000"/>
                <w:kern w:val="2"/>
                <w:sz w:val="21"/>
                <w:szCs w:val="21"/>
                <w:lang w:val="en-US" w:eastAsia="zh-CN" w:bidi="ar-SA"/>
              </w:rPr>
              <w:t>GMW15192-2007-5000-ST-85-U通用铝板生产标准</w:t>
            </w:r>
            <w:r>
              <w:rPr>
                <w:rFonts w:hint="eastAsia" w:ascii="Times New Roman" w:hAnsi="Times New Roman" w:cs="Times New Roman"/>
                <w:color w:val="auto"/>
                <w:szCs w:val="22"/>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eastAsia" w:ascii="Times New Roman" w:hAnsi="Times New Roman" w:cs="Times New Roman"/>
                <w:color w:val="auto"/>
                <w:szCs w:val="22"/>
                <w:highlight w:val="none"/>
                <w:lang w:val="en-US" w:eastAsia="zh-CN"/>
              </w:rPr>
              <w:t>建立环境、职业健康安全法律法规和其他要求清单，共</w:t>
            </w:r>
            <w:r>
              <w:rPr>
                <w:rFonts w:hint="eastAsia" w:cs="Times New Roman"/>
                <w:color w:val="auto"/>
                <w:szCs w:val="22"/>
                <w:highlight w:val="none"/>
                <w:lang w:val="en-US" w:eastAsia="zh-CN"/>
              </w:rPr>
              <w:t>76</w:t>
            </w:r>
            <w:r>
              <w:rPr>
                <w:rFonts w:hint="eastAsia" w:ascii="Times New Roman" w:hAnsi="Times New Roman" w:cs="Times New Roman"/>
                <w:color w:val="auto"/>
                <w:szCs w:val="22"/>
                <w:highlight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文件化管理体系目前基本满足要求。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——在编制体系文件时，对文件进行标识，主要有文件名称/编制部门/批准日期/文件编号等，经查管理手册/程序文件基本符合标准要求。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管理体系文件经过总经理审批实施发布，经评审，目前文件和目录均适用。符合要求。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——编制《文件控制程序》，内容符合基本标准要求。</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抽查：受控文件清单、管理评审计划、培训计划、环境因素、职业健康安全危险源识别与评价表等，其成文信息标识清晰，填写基本齐全、清晰，成文信息在文件柜中分类编目保存，成文信息的贮存和保护符合要求，检索方便。</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成文信息由各部门负责保存，以便查阅。</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经查，基本符合标准要求。</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jc w:val="both"/>
              <w:rPr>
                <w:rFonts w:hint="default" w:ascii="宋体" w:hAnsi="宋体" w:cs="Arial"/>
                <w:sz w:val="21"/>
                <w:szCs w:val="21"/>
              </w:rPr>
            </w:pPr>
            <w:r>
              <w:rPr>
                <w:rFonts w:hint="default" w:ascii="宋体" w:hAnsi="宋体" w:cs="Arial"/>
                <w:sz w:val="21"/>
                <w:szCs w:val="21"/>
              </w:rPr>
              <w:t>产品和服务的要求</w:t>
            </w:r>
          </w:p>
          <w:p>
            <w:pPr>
              <w:jc w:val="both"/>
              <w:rPr>
                <w:rFonts w:hint="default" w:ascii="Times New Roman" w:hAnsi="Times New Roman" w:cs="Times New Roman"/>
                <w:spacing w:val="-6"/>
                <w:sz w:val="21"/>
                <w:szCs w:val="21"/>
                <w:u w:val="none"/>
              </w:rPr>
            </w:pPr>
            <w:r>
              <w:rPr>
                <w:rFonts w:hint="eastAsia" w:ascii="宋体" w:hAnsi="宋体" w:cs="Arial"/>
                <w:sz w:val="21"/>
                <w:szCs w:val="21"/>
                <w:lang w:val="en-US" w:eastAsia="zh-CN"/>
              </w:rPr>
              <w:t>顾客财产</w:t>
            </w:r>
          </w:p>
        </w:tc>
        <w:tc>
          <w:tcPr>
            <w:tcW w:w="1093" w:type="dxa"/>
            <w:vAlign w:val="top"/>
          </w:tcPr>
          <w:p>
            <w:pPr>
              <w:jc w:val="center"/>
              <w:rPr>
                <w:rFonts w:hint="default" w:ascii="宋体" w:hAnsi="宋体" w:cs="Arial"/>
                <w:sz w:val="21"/>
                <w:szCs w:val="21"/>
              </w:rPr>
            </w:pPr>
            <w:r>
              <w:rPr>
                <w:rFonts w:hint="default" w:ascii="宋体" w:hAnsi="宋体" w:cs="Arial"/>
                <w:sz w:val="21"/>
                <w:szCs w:val="21"/>
              </w:rPr>
              <w:t>Q</w:t>
            </w:r>
            <w:r>
              <w:rPr>
                <w:rFonts w:hint="eastAsia" w:ascii="宋体" w:hAnsi="宋体" w:cs="Arial"/>
                <w:sz w:val="21"/>
                <w:szCs w:val="21"/>
                <w:lang w:val="en-US" w:eastAsia="zh-CN"/>
              </w:rPr>
              <w:t>:</w:t>
            </w:r>
            <w:r>
              <w:rPr>
                <w:rFonts w:hint="default" w:ascii="宋体" w:hAnsi="宋体" w:cs="Arial"/>
                <w:sz w:val="21"/>
                <w:szCs w:val="21"/>
              </w:rPr>
              <w:t>8.2</w:t>
            </w:r>
          </w:p>
          <w:p>
            <w:pPr>
              <w:jc w:val="center"/>
              <w:rPr>
                <w:rFonts w:hint="default" w:ascii="Times New Roman" w:hAnsi="Times New Roman" w:cs="Times New Roman"/>
                <w:color w:val="auto"/>
                <w:spacing w:val="-6"/>
                <w:kern w:val="2"/>
                <w:sz w:val="21"/>
                <w:szCs w:val="21"/>
                <w:lang w:val="en-US" w:eastAsia="zh-CN" w:bidi="ar-SA"/>
              </w:rPr>
            </w:pPr>
            <w:r>
              <w:rPr>
                <w:rFonts w:hint="eastAsia" w:ascii="宋体" w:hAnsi="宋体" w:cs="Arial"/>
                <w:sz w:val="21"/>
                <w:szCs w:val="21"/>
                <w:lang w:val="en-US" w:eastAsia="zh-CN"/>
              </w:rPr>
              <w:t>8.5.3</w:t>
            </w:r>
          </w:p>
        </w:tc>
        <w:tc>
          <w:tcPr>
            <w:tcW w:w="10004" w:type="dxa"/>
            <w:vAlign w:val="top"/>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eastAsia="zh-CN"/>
              </w:rPr>
            </w:pPr>
            <w:r>
              <w:rPr>
                <w:rFonts w:hint="eastAsia"/>
                <w:lang w:val="en-US" w:eastAsia="zh-CN"/>
              </w:rPr>
              <w:t>综合办</w:t>
            </w:r>
            <w:r>
              <w:rPr>
                <w:rFonts w:hint="default"/>
                <w:lang w:val="en-US" w:eastAsia="zh-CN"/>
              </w:rPr>
              <w:t>负责人介绍沟通方式：主要是电话、资料传递、交流会等形式宣传本公司有关产品及公司的有关信誉等。</w:t>
            </w:r>
          </w:p>
          <w:p>
            <w:pPr>
              <w:pStyle w:val="3"/>
              <w:rPr>
                <w:rFonts w:hint="default"/>
                <w:lang w:val="en-US" w:eastAsia="zh-CN"/>
              </w:rPr>
            </w:pPr>
            <w:r>
              <w:rPr>
                <w:rFonts w:hint="eastAsia"/>
                <w:lang w:val="en-US" w:eastAsia="zh-CN"/>
              </w:rPr>
              <w:t>查见公司印制的企业介绍；</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eastAsia="zh-CN"/>
              </w:rPr>
            </w:pPr>
            <w:r>
              <w:rPr>
                <w:rFonts w:hint="default"/>
                <w:lang w:val="en-US" w:eastAsia="zh-CN"/>
              </w:rPr>
              <w:t>针对合同洽谈、签订、履行过程中的问题，及时电话联系，明确各自的要求，执行合同。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eastAsia="zh-CN"/>
              </w:rPr>
            </w:pPr>
            <w:r>
              <w:rPr>
                <w:rFonts w:hint="default"/>
                <w:lang w:val="en-US" w:eastAsia="zh-CN"/>
              </w:rPr>
              <w:t>目前沟通效果良好。</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lang w:val="en-US" w:eastAsia="zh-CN"/>
              </w:rPr>
            </w:pPr>
            <w:r>
              <w:rPr>
                <w:rFonts w:hint="default"/>
                <w:lang w:val="en-US" w:eastAsia="zh-CN"/>
              </w:rPr>
              <w:t>公司主要通过客户的走访、交流会等了解市场的需求状态。主要以合同、电话等形式确定与产品有关的要求，均已保存或进行相应的记录。</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eastAsia"/>
                <w:lang w:val="en-US" w:eastAsia="zh-CN"/>
              </w:rPr>
              <w:t>综合办</w:t>
            </w:r>
            <w:r>
              <w:rPr>
                <w:rFonts w:hint="default"/>
                <w:lang w:val="en-US" w:eastAsia="zh-CN"/>
              </w:rPr>
              <w:t>直接对顾客要求进行识别、确认，对于存在的问题直接提出和顾客进行交流沟通，然后由</w:t>
            </w:r>
            <w:r>
              <w:rPr>
                <w:rFonts w:hint="eastAsia"/>
                <w:lang w:val="en-US" w:eastAsia="zh-CN"/>
              </w:rPr>
              <w:t>综合办</w:t>
            </w:r>
            <w:r>
              <w:rPr>
                <w:rFonts w:hint="default"/>
                <w:lang w:val="en-US" w:eastAsia="zh-CN"/>
              </w:rPr>
              <w:t>经理组织人员评审，现场合同评审记录，经评审能满足要求后由总经理或其授权人签字并加盖公司印章，然后回传给顾客。抽</w:t>
            </w:r>
            <w:r>
              <w:rPr>
                <w:rFonts w:hint="eastAsia"/>
                <w:lang w:val="en-US" w:eastAsia="zh-CN"/>
              </w:rPr>
              <w:t>见：</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olor w:val="auto"/>
                <w:highlight w:val="none"/>
                <w:lang w:val="en-US" w:eastAsia="zh-CN"/>
              </w:rPr>
            </w:pPr>
            <w:r>
              <w:rPr>
                <w:rFonts w:hint="eastAsia"/>
                <w:highlight w:val="none"/>
              </w:rPr>
              <w:t>1）订货合同</w:t>
            </w:r>
            <w:r>
              <w:rPr>
                <w:highlight w:val="none"/>
              </w:rPr>
              <w:t>，</w:t>
            </w:r>
            <w:r>
              <w:rPr>
                <w:rFonts w:hint="eastAsia"/>
                <w:highlight w:val="none"/>
              </w:rPr>
              <w:t>202</w:t>
            </w:r>
            <w:r>
              <w:rPr>
                <w:rFonts w:hint="eastAsia"/>
                <w:highlight w:val="none"/>
                <w:lang w:val="en-US" w:eastAsia="zh-CN"/>
              </w:rPr>
              <w:t>1</w:t>
            </w:r>
            <w:r>
              <w:rPr>
                <w:rFonts w:hint="eastAsia"/>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5</w:t>
            </w:r>
            <w:r>
              <w:rPr>
                <w:rFonts w:hint="eastAsia"/>
                <w:highlight w:val="none"/>
              </w:rPr>
              <w:t>日与</w:t>
            </w:r>
            <w:r>
              <w:rPr>
                <w:rFonts w:hint="eastAsia"/>
                <w:highlight w:val="none"/>
                <w:lang w:val="en-US" w:eastAsia="zh-CN"/>
              </w:rPr>
              <w:t>安徽禾富装饰工程</w:t>
            </w:r>
            <w:r>
              <w:rPr>
                <w:rFonts w:hint="eastAsia"/>
                <w:highlight w:val="none"/>
              </w:rPr>
              <w:t>有限公司签订</w:t>
            </w:r>
            <w:r>
              <w:rPr>
                <w:highlight w:val="none"/>
              </w:rPr>
              <w:t>，</w:t>
            </w:r>
            <w:r>
              <w:rPr>
                <w:rFonts w:hint="eastAsia"/>
                <w:highlight w:val="none"/>
                <w:lang w:val="en-US" w:eastAsia="zh-CN"/>
              </w:rPr>
              <w:t>铝蜂窝板</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olor w:val="auto"/>
                <w:lang w:val="en-US" w:eastAsia="zh-CN"/>
              </w:rPr>
            </w:pPr>
            <w:r>
              <w:rPr>
                <w:rFonts w:hint="default"/>
                <w:color w:val="auto"/>
                <w:lang w:val="en-US" w:eastAsia="zh-CN"/>
              </w:rPr>
              <w:t>2）</w:t>
            </w:r>
            <w:r>
              <w:rPr>
                <w:rFonts w:hint="eastAsia"/>
                <w:color w:val="auto"/>
                <w:lang w:val="en-US" w:eastAsia="zh-CN"/>
              </w:rPr>
              <w:t>订货合同</w:t>
            </w:r>
            <w:r>
              <w:rPr>
                <w:rFonts w:hint="default"/>
                <w:color w:val="auto"/>
                <w:lang w:val="en-US" w:eastAsia="zh-CN"/>
              </w:rPr>
              <w:t>，</w:t>
            </w:r>
            <w:r>
              <w:rPr>
                <w:rFonts w:hint="eastAsia"/>
                <w:color w:val="auto"/>
                <w:lang w:val="en-US" w:eastAsia="zh-CN"/>
              </w:rPr>
              <w:t>2021.3.11与河南鑫源龙石材有限公司签订</w:t>
            </w:r>
            <w:r>
              <w:rPr>
                <w:rFonts w:hint="default"/>
                <w:color w:val="auto"/>
                <w:lang w:val="en-US" w:eastAsia="zh-CN"/>
              </w:rPr>
              <w:t>，</w:t>
            </w:r>
            <w:r>
              <w:rPr>
                <w:rFonts w:hint="eastAsia"/>
                <w:highlight w:val="none"/>
                <w:lang w:val="en-US" w:eastAsia="zh-CN"/>
              </w:rPr>
              <w:t>铝蜂窝板</w:t>
            </w:r>
            <w:r>
              <w:rPr>
                <w:rFonts w:hint="eastAsia"/>
                <w:color w:val="auto"/>
                <w:lang w:val="en-US" w:eastAsia="zh-CN"/>
              </w:rPr>
              <w:t>；</w:t>
            </w:r>
          </w:p>
          <w:p>
            <w:pPr>
              <w:pStyle w:val="3"/>
              <w:rPr>
                <w:rFonts w:hint="eastAsia"/>
                <w:color w:val="auto"/>
                <w:lang w:val="en-US" w:eastAsia="zh-CN"/>
              </w:rPr>
            </w:pPr>
            <w:r>
              <w:rPr>
                <w:rFonts w:hint="eastAsia"/>
                <w:color w:val="auto"/>
                <w:lang w:val="en-US" w:eastAsia="zh-CN"/>
              </w:rPr>
              <w:t>3）订货合同，2021.3.20与通山保信装饰材料有限公司签订，</w:t>
            </w:r>
            <w:r>
              <w:rPr>
                <w:rFonts w:hint="eastAsia"/>
                <w:highlight w:val="none"/>
                <w:lang w:val="en-US" w:eastAsia="zh-CN"/>
              </w:rPr>
              <w:t>铝蜂窝板</w:t>
            </w:r>
            <w:r>
              <w:rPr>
                <w:rFonts w:hint="eastAsia"/>
                <w:color w:val="auto"/>
                <w:lang w:val="en-US" w:eastAsia="zh-CN"/>
              </w:rPr>
              <w:t>；</w:t>
            </w:r>
          </w:p>
          <w:p>
            <w:pPr>
              <w:pStyle w:val="3"/>
              <w:rPr>
                <w:rFonts w:hint="default"/>
                <w:color w:val="auto"/>
                <w:lang w:val="en-US" w:eastAsia="zh-CN"/>
              </w:rPr>
            </w:pPr>
            <w:r>
              <w:rPr>
                <w:rFonts w:hint="eastAsia"/>
                <w:color w:val="auto"/>
                <w:lang w:val="en-US" w:eastAsia="zh-CN"/>
              </w:rPr>
              <w:t>4）订货合同，2021.8.20与南安市英良达泰石材有限公司签订，</w:t>
            </w:r>
            <w:r>
              <w:rPr>
                <w:rFonts w:hint="eastAsia"/>
                <w:highlight w:val="none"/>
                <w:lang w:val="en-US" w:eastAsia="zh-CN"/>
              </w:rPr>
              <w:t>铝蜂窝板</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lang w:val="en-US" w:eastAsia="zh-CN"/>
              </w:rPr>
            </w:pPr>
            <w:r>
              <w:rPr>
                <w:rFonts w:hint="default"/>
                <w:lang w:val="en-US" w:eastAsia="zh-CN"/>
              </w:rPr>
              <w:t>在合同中明确了产品名称</w:t>
            </w:r>
            <w:r>
              <w:rPr>
                <w:rFonts w:hint="eastAsia"/>
                <w:lang w:val="en-US" w:eastAsia="zh-CN"/>
              </w:rPr>
              <w:t>、</w:t>
            </w:r>
            <w:r>
              <w:rPr>
                <w:rFonts w:hint="default"/>
                <w:lang w:val="en-US" w:eastAsia="zh-CN"/>
              </w:rPr>
              <w:t>规格型号</w:t>
            </w:r>
            <w:r>
              <w:rPr>
                <w:rFonts w:hint="eastAsia"/>
                <w:lang w:val="en-US" w:eastAsia="zh-CN"/>
              </w:rPr>
              <w:t>、</w:t>
            </w:r>
            <w:r>
              <w:rPr>
                <w:rFonts w:hint="default"/>
                <w:lang w:val="en-US" w:eastAsia="zh-CN"/>
              </w:rPr>
              <w:t>数量</w:t>
            </w:r>
            <w:r>
              <w:rPr>
                <w:rFonts w:hint="eastAsia"/>
                <w:lang w:val="en-US" w:eastAsia="zh-CN"/>
              </w:rPr>
              <w:t>、单位、价格、材质要求、</w:t>
            </w:r>
            <w:r>
              <w:rPr>
                <w:rFonts w:hint="default"/>
                <w:lang w:val="en-US" w:eastAsia="zh-CN"/>
              </w:rPr>
              <w:t>交货方式、质量标准、付款方式、</w:t>
            </w:r>
            <w:r>
              <w:rPr>
                <w:rFonts w:hint="eastAsia"/>
                <w:lang w:val="en-US" w:eastAsia="zh-CN"/>
              </w:rPr>
              <w:t>包装、运输</w:t>
            </w:r>
            <w:r>
              <w:rPr>
                <w:rFonts w:hint="default"/>
                <w:lang w:val="en-US" w:eastAsia="zh-CN"/>
              </w:rPr>
              <w:t>等要求</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查见上述合同的评审记录，</w:t>
            </w:r>
            <w:r>
              <w:rPr>
                <w:rFonts w:hint="eastAsia" w:cs="Times New Roman"/>
                <w:szCs w:val="22"/>
                <w:lang w:val="en-US" w:eastAsia="zh-CN"/>
              </w:rPr>
              <w:t>综合办</w:t>
            </w:r>
            <w:r>
              <w:rPr>
                <w:rFonts w:hint="eastAsia" w:ascii="Times New Roman" w:hAnsi="Times New Roman" w:eastAsia="宋体" w:cs="Times New Roman"/>
                <w:szCs w:val="22"/>
                <w:lang w:val="en-US" w:eastAsia="zh-CN"/>
              </w:rPr>
              <w:t>、生产部、总经理等对客户要求、技术、交付等进行了评审，同意后签订</w:t>
            </w:r>
            <w:r>
              <w:rPr>
                <w:rFonts w:hint="eastAsia" w:cs="Times New Roman"/>
                <w:szCs w:val="22"/>
                <w:lang w:val="en-US" w:eastAsia="zh-CN"/>
              </w:rPr>
              <w:t>合同</w:t>
            </w:r>
            <w:r>
              <w:rPr>
                <w:rFonts w:hint="eastAsia" w:ascii="Times New Roman" w:hAnsi="Times New Roman" w:eastAsia="宋体" w:cs="Times New Roman"/>
                <w:szCs w:val="22"/>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产品要求的评审基本符合标准要求。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介绍说，</w:t>
            </w:r>
            <w:r>
              <w:rPr>
                <w:rFonts w:hint="default" w:ascii="Times New Roman" w:hAnsi="Times New Roman" w:eastAsia="宋体" w:cs="Times New Roman"/>
                <w:szCs w:val="22"/>
                <w:lang w:val="en-US" w:eastAsia="zh-CN"/>
              </w:rPr>
              <w:t>目前尚未发生合同更改的情况，询问对更改情况的控制较为明确清楚。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eastAsia" w:ascii="Times New Roman" w:hAnsi="Times New Roman" w:eastAsia="宋体" w:cs="Times New Roman"/>
                <w:szCs w:val="22"/>
                <w:lang w:val="en-US" w:eastAsia="zh-CN"/>
              </w:rPr>
              <w:t>介绍说，公司没有顾客财产。</w:t>
            </w:r>
          </w:p>
        </w:tc>
        <w:tc>
          <w:tcPr>
            <w:tcW w:w="1585" w:type="dxa"/>
            <w:vAlign w:val="top"/>
          </w:tcPr>
          <w:p>
            <w:pPr>
              <w:spacing w:beforeLines="50" w:afterLines="50"/>
              <w:jc w:val="both"/>
              <w:rPr>
                <w:rFonts w:hint="default" w:ascii="Times New Roman" w:hAnsi="Times New Roman" w:cs="Times New Roman"/>
                <w:color w:val="auto"/>
                <w:lang w:val="en-US" w:eastAsia="zh-CN"/>
              </w:rPr>
            </w:pPr>
            <w:r>
              <w:rPr>
                <w:rFonts w:hint="eastAsia" w:cs="Times New Roman" w:eastAsiaTheme="minorEastAsia"/>
                <w:color w:val="0000FF"/>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pStyle w:val="3"/>
              <w:ind w:left="0" w:leftChars="0" w:firstLine="0" w:firstLineChars="0"/>
              <w:jc w:val="both"/>
              <w:rPr>
                <w:rFonts w:hint="default" w:ascii="Times New Roman" w:hAnsi="Times New Roman" w:cs="Times New Roman"/>
                <w:spacing w:val="-6"/>
                <w:sz w:val="21"/>
                <w:szCs w:val="21"/>
                <w:u w:val="none"/>
              </w:rPr>
            </w:pPr>
            <w:r>
              <w:rPr>
                <w:rFonts w:hint="default" w:ascii="宋体" w:hAnsi="宋体" w:cs="Arial"/>
                <w:sz w:val="21"/>
                <w:szCs w:val="21"/>
                <w:lang w:val="en-US" w:eastAsia="zh-CN"/>
              </w:rPr>
              <w:t>外部提供过程、产品和服务的控制</w:t>
            </w:r>
          </w:p>
        </w:tc>
        <w:tc>
          <w:tcPr>
            <w:tcW w:w="1093" w:type="dxa"/>
            <w:vAlign w:val="top"/>
          </w:tcPr>
          <w:p>
            <w:pPr>
              <w:pStyle w:val="3"/>
              <w:ind w:left="0" w:leftChars="0" w:firstLine="0" w:firstLineChars="0"/>
              <w:jc w:val="center"/>
              <w:rPr>
                <w:rFonts w:hint="default" w:ascii="宋体" w:hAnsi="宋体" w:cs="Arial"/>
                <w:sz w:val="21"/>
                <w:szCs w:val="21"/>
                <w:lang w:val="en-US" w:eastAsia="zh-CN"/>
              </w:rPr>
            </w:pPr>
            <w:r>
              <w:rPr>
                <w:rFonts w:hint="default" w:ascii="宋体" w:hAnsi="宋体" w:cs="Arial"/>
                <w:sz w:val="21"/>
                <w:szCs w:val="21"/>
                <w:lang w:val="en-US" w:eastAsia="zh-CN"/>
              </w:rPr>
              <w:t>Q：8.4</w:t>
            </w:r>
          </w:p>
          <w:p>
            <w:pPr>
              <w:pStyle w:val="3"/>
              <w:ind w:left="0" w:leftChars="0" w:firstLine="0" w:firstLineChars="0"/>
              <w:jc w:val="center"/>
              <w:rPr>
                <w:rFonts w:hint="default" w:ascii="Times New Roman" w:hAnsi="Times New Roman" w:cs="Times New Roman"/>
                <w:color w:val="auto"/>
                <w:spacing w:val="-6"/>
                <w:kern w:val="2"/>
                <w:sz w:val="21"/>
                <w:szCs w:val="21"/>
                <w:lang w:val="en-US" w:eastAsia="zh-CN" w:bidi="ar-SA"/>
              </w:rPr>
            </w:pPr>
            <w:r>
              <w:rPr>
                <w:rFonts w:hint="eastAsia" w:ascii="宋体" w:hAnsi="宋体" w:cs="Arial"/>
                <w:sz w:val="21"/>
                <w:szCs w:val="21"/>
                <w:lang w:val="en-US" w:eastAsia="zh-CN"/>
              </w:rPr>
              <w:t>O:8.1.4</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s="Times New Roman" w:eastAsiaTheme="minorEastAsia"/>
                <w:color w:val="auto"/>
                <w:sz w:val="21"/>
                <w:szCs w:val="21"/>
                <w:lang w:val="en-US" w:eastAsia="zh-CN"/>
              </w:rPr>
            </w:pPr>
            <w:r>
              <w:rPr>
                <w:rFonts w:hint="default" w:cs="Times New Roman" w:eastAsiaTheme="minorEastAsia"/>
                <w:color w:val="auto"/>
                <w:sz w:val="21"/>
                <w:szCs w:val="21"/>
                <w:lang w:val="en-US" w:eastAsia="zh-CN"/>
              </w:rPr>
              <w:t>编制并执行了《采购控制程序》，规定了采购控制要求，明确了对供方选择、评价、及再评价的准则。</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查《合格供方名录》，抽见主要供方如下：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佛山市量德金属有限公司</w:t>
            </w:r>
            <w:r>
              <w:rPr>
                <w:rFonts w:hint="eastAsia" w:cs="Times New Roman" w:eastAsiaTheme="minorEastAsia"/>
                <w:color w:val="auto"/>
                <w:sz w:val="21"/>
                <w:szCs w:val="21"/>
                <w:lang w:val="en-US" w:eastAsia="zh-CN"/>
              </w:rPr>
              <w:t>——</w:t>
            </w:r>
            <w:r>
              <w:rPr>
                <w:rFonts w:hint="eastAsia" w:ascii="宋体" w:hAnsi="宋体" w:eastAsia="宋体" w:cs="宋体"/>
                <w:i w:val="0"/>
                <w:iCs w:val="0"/>
                <w:color w:val="000000"/>
                <w:kern w:val="0"/>
                <w:sz w:val="21"/>
                <w:szCs w:val="21"/>
                <w:u w:val="none"/>
                <w:lang w:val="en-US" w:eastAsia="zh-CN" w:bidi="ar"/>
              </w:rPr>
              <w:t>铝卷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深圳金觅科新型建材有限公司</w:t>
            </w:r>
            <w:r>
              <w:rPr>
                <w:rFonts w:hint="eastAsia" w:cs="Times New Roman" w:eastAsiaTheme="minorEastAsia"/>
                <w:color w:val="auto"/>
                <w:sz w:val="21"/>
                <w:szCs w:val="21"/>
                <w:lang w:val="en-US" w:eastAsia="zh-CN"/>
              </w:rPr>
              <w:t>——</w:t>
            </w:r>
            <w:r>
              <w:rPr>
                <w:rFonts w:hint="eastAsia" w:ascii="宋体" w:hAnsi="宋体" w:eastAsia="宋体" w:cs="宋体"/>
                <w:i w:val="0"/>
                <w:iCs w:val="0"/>
                <w:color w:val="000000"/>
                <w:kern w:val="0"/>
                <w:sz w:val="21"/>
                <w:szCs w:val="21"/>
                <w:u w:val="none"/>
                <w:lang w:val="en-US" w:eastAsia="zh-CN" w:bidi="ar"/>
              </w:rPr>
              <w:t>高分子粘接膜</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佛山市豫锋铝业有限公司</w:t>
            </w:r>
            <w:r>
              <w:rPr>
                <w:rFonts w:hint="eastAsia" w:cs="Times New Roman" w:eastAsiaTheme="minorEastAsia"/>
                <w:color w:val="auto"/>
                <w:sz w:val="21"/>
                <w:szCs w:val="21"/>
                <w:lang w:val="en-US" w:eastAsia="zh-CN"/>
              </w:rPr>
              <w:t>——</w:t>
            </w:r>
            <w:r>
              <w:rPr>
                <w:rFonts w:hint="eastAsia" w:ascii="宋体" w:hAnsi="宋体" w:eastAsia="宋体" w:cs="宋体"/>
                <w:i w:val="0"/>
                <w:iCs w:val="0"/>
                <w:color w:val="000000"/>
                <w:kern w:val="0"/>
                <w:sz w:val="21"/>
                <w:szCs w:val="21"/>
                <w:u w:val="none"/>
                <w:lang w:val="en-US" w:eastAsia="zh-CN" w:bidi="ar"/>
              </w:rPr>
              <w:t>铝板</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郑州市佛山铝业有限公司</w:t>
            </w:r>
            <w:r>
              <w:rPr>
                <w:rFonts w:hint="eastAsia" w:cs="Times New Roman" w:eastAsiaTheme="minorEastAsia"/>
                <w:color w:val="auto"/>
                <w:sz w:val="21"/>
                <w:szCs w:val="21"/>
                <w:lang w:val="en-US" w:eastAsia="zh-CN"/>
              </w:rPr>
              <w:t>——</w:t>
            </w:r>
            <w:r>
              <w:rPr>
                <w:rFonts w:hint="eastAsia" w:ascii="宋体" w:hAnsi="宋体" w:eastAsia="宋体" w:cs="宋体"/>
                <w:i w:val="0"/>
                <w:iCs w:val="0"/>
                <w:color w:val="000000"/>
                <w:kern w:val="0"/>
                <w:sz w:val="21"/>
                <w:szCs w:val="21"/>
                <w:u w:val="none"/>
                <w:lang w:val="en-US" w:eastAsia="zh-CN" w:bidi="ar"/>
              </w:rPr>
              <w:t>粘接膜</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default" w:cs="Times New Roman" w:eastAsiaTheme="minorEastAsia"/>
                <w:color w:val="auto"/>
                <w:sz w:val="21"/>
                <w:szCs w:val="21"/>
                <w:lang w:val="en-US" w:eastAsia="zh-CN"/>
              </w:rPr>
              <w:t>查</w:t>
            </w:r>
            <w:r>
              <w:rPr>
                <w:rFonts w:hint="eastAsia" w:cs="Times New Roman" w:eastAsiaTheme="minorEastAsia"/>
                <w:color w:val="auto"/>
                <w:sz w:val="21"/>
                <w:szCs w:val="21"/>
                <w:lang w:val="en-US" w:eastAsia="zh-CN"/>
              </w:rPr>
              <w:t>见</w:t>
            </w:r>
            <w:r>
              <w:rPr>
                <w:rFonts w:hint="default" w:cs="Times New Roman" w:eastAsiaTheme="minorEastAsia"/>
                <w:color w:val="auto"/>
                <w:sz w:val="21"/>
                <w:szCs w:val="21"/>
                <w:lang w:val="en-US" w:eastAsia="zh-CN"/>
              </w:rPr>
              <w:t>供方调查评定记录</w:t>
            </w:r>
            <w:r>
              <w:rPr>
                <w:rFonts w:hint="eastAsia" w:cs="Times New Roman" w:eastAsiaTheme="minorEastAsia"/>
                <w:color w:val="auto"/>
                <w:sz w:val="21"/>
                <w:szCs w:val="21"/>
                <w:lang w:val="en-US" w:eastAsia="zh-CN"/>
              </w:rPr>
              <w:t>；抽见上述供应商评价表，显示供方对产品/服务质量的承诺：高质量、高品位、高效率、高效益；对工商注册文件及相关资质证明、售后服务、价格比、交货期、产品质量、其他等进行了评价；参加评审人员签名，评审结论：继续列入合格供方名录。</w:t>
            </w:r>
          </w:p>
          <w:p>
            <w:pPr>
              <w:pStyle w:val="3"/>
              <w:rPr>
                <w:rFonts w:hint="default"/>
                <w:color w:val="FF0000"/>
                <w:lang w:val="en-US" w:eastAsia="zh-CN"/>
              </w:rPr>
            </w:pPr>
            <w:r>
              <w:drawing>
                <wp:inline distT="0" distB="0" distL="114300" distR="114300">
                  <wp:extent cx="5991225" cy="3768090"/>
                  <wp:effectExtent l="0" t="0" r="9525" b="381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0"/>
                          <a:stretch>
                            <a:fillRect/>
                          </a:stretch>
                        </pic:blipFill>
                        <pic:spPr>
                          <a:xfrm>
                            <a:off x="0" y="0"/>
                            <a:ext cx="5991225" cy="37680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介绍说</w:t>
            </w:r>
            <w:r>
              <w:rPr>
                <w:rFonts w:hint="default" w:cs="Times New Roman" w:eastAsiaTheme="minorEastAsia"/>
                <w:color w:val="auto"/>
                <w:sz w:val="21"/>
                <w:szCs w:val="21"/>
                <w:lang w:val="en-US" w:eastAsia="zh-CN"/>
              </w:rPr>
              <w:t>与供方沟通的内容包括：所提供的过程、产品和服务等；采购物资根据签订采购合同</w:t>
            </w:r>
            <w:r>
              <w:rPr>
                <w:rFonts w:hint="eastAsia" w:cs="Times New Roman" w:eastAsiaTheme="minorEastAsia"/>
                <w:color w:val="auto"/>
                <w:sz w:val="21"/>
                <w:szCs w:val="21"/>
                <w:lang w:val="en-US" w:eastAsia="zh-CN"/>
              </w:rPr>
              <w:t>或者订单</w:t>
            </w:r>
            <w:r>
              <w:rPr>
                <w:rFonts w:hint="default" w:cs="Times New Roman" w:eastAsiaTheme="minorEastAsia"/>
                <w:color w:val="auto"/>
                <w:sz w:val="21"/>
                <w:szCs w:val="21"/>
                <w:lang w:val="en-US" w:eastAsia="zh-CN"/>
              </w:rPr>
              <w:t>进行产品的名称、规格、型号、数量等采购信息的确定。</w:t>
            </w:r>
          </w:p>
          <w:p>
            <w:pPr>
              <w:spacing w:after="0" w:line="360" w:lineRule="auto"/>
              <w:ind w:firstLine="420" w:firstLineChars="200"/>
              <w:rPr>
                <w:rFonts w:eastAsiaTheme="minorEastAsia"/>
                <w:color w:val="auto"/>
                <w:szCs w:val="21"/>
                <w:highlight w:val="none"/>
              </w:rPr>
            </w:pPr>
            <w:r>
              <w:rPr>
                <w:rFonts w:eastAsiaTheme="minorEastAsia"/>
                <w:color w:val="auto"/>
                <w:szCs w:val="21"/>
                <w:highlight w:val="none"/>
              </w:rPr>
              <w:t>查采购合同</w:t>
            </w:r>
            <w:r>
              <w:rPr>
                <w:rFonts w:hint="eastAsia" w:eastAsiaTheme="minorEastAsia"/>
                <w:color w:val="auto"/>
                <w:szCs w:val="21"/>
                <w:highlight w:val="none"/>
              </w:rPr>
              <w:t>，抽见：</w:t>
            </w:r>
          </w:p>
          <w:p>
            <w:pPr>
              <w:spacing w:after="0" w:line="360" w:lineRule="auto"/>
              <w:ind w:firstLine="420" w:firstLineChars="200"/>
              <w:rPr>
                <w:rFonts w:eastAsiaTheme="minorEastAsia"/>
                <w:color w:val="auto"/>
                <w:szCs w:val="21"/>
                <w:highlight w:val="none"/>
              </w:rPr>
            </w:pPr>
            <w:r>
              <w:rPr>
                <w:rFonts w:hint="eastAsia" w:eastAsiaTheme="minorEastAsia"/>
                <w:color w:val="auto"/>
                <w:szCs w:val="21"/>
                <w:highlight w:val="none"/>
              </w:rPr>
              <w:t>1、</w:t>
            </w:r>
            <w:r>
              <w:rPr>
                <w:rFonts w:hint="eastAsia" w:eastAsiaTheme="minorEastAsia"/>
                <w:color w:val="auto"/>
                <w:szCs w:val="21"/>
                <w:highlight w:val="none"/>
                <w:lang w:val="en-US" w:eastAsia="zh-CN"/>
              </w:rPr>
              <w:t>购销合同</w:t>
            </w:r>
            <w:r>
              <w:rPr>
                <w:rFonts w:hint="eastAsia" w:eastAsiaTheme="minorEastAsia"/>
                <w:color w:val="auto"/>
                <w:szCs w:val="21"/>
                <w:highlight w:val="none"/>
              </w:rPr>
              <w:t>——</w:t>
            </w:r>
            <w:r>
              <w:rPr>
                <w:rFonts w:hint="eastAsia" w:ascii="宋体" w:hAnsi="宋体" w:eastAsia="宋体" w:cs="宋体"/>
                <w:i w:val="0"/>
                <w:iCs w:val="0"/>
                <w:color w:val="000000"/>
                <w:kern w:val="0"/>
                <w:sz w:val="21"/>
                <w:szCs w:val="21"/>
                <w:u w:val="none"/>
                <w:lang w:val="en-US" w:eastAsia="zh-CN" w:bidi="ar"/>
              </w:rPr>
              <w:t>佛山市量德金属有限公司</w:t>
            </w:r>
            <w:r>
              <w:rPr>
                <w:rFonts w:hint="eastAsia" w:eastAsiaTheme="minorEastAsia"/>
                <w:color w:val="auto"/>
                <w:szCs w:val="21"/>
                <w:highlight w:val="none"/>
              </w:rPr>
              <w:t>，2021.</w:t>
            </w:r>
            <w:r>
              <w:rPr>
                <w:rFonts w:eastAsiaTheme="minorEastAsia"/>
                <w:color w:val="auto"/>
                <w:szCs w:val="21"/>
                <w:highlight w:val="none"/>
              </w:rPr>
              <w:t>6.</w:t>
            </w:r>
            <w:r>
              <w:rPr>
                <w:rFonts w:hint="eastAsia" w:eastAsiaTheme="minorEastAsia"/>
                <w:color w:val="auto"/>
                <w:szCs w:val="21"/>
                <w:highlight w:val="none"/>
                <w:lang w:val="en-US" w:eastAsia="zh-CN"/>
              </w:rPr>
              <w:t>10</w:t>
            </w:r>
            <w:r>
              <w:rPr>
                <w:rFonts w:hint="eastAsia" w:eastAsiaTheme="minorEastAsia"/>
                <w:color w:val="auto"/>
                <w:szCs w:val="21"/>
                <w:highlight w:val="none"/>
              </w:rPr>
              <w:t>，</w:t>
            </w:r>
            <w:r>
              <w:rPr>
                <w:rFonts w:hint="eastAsia" w:eastAsiaTheme="minorEastAsia"/>
                <w:color w:val="auto"/>
                <w:szCs w:val="21"/>
                <w:highlight w:val="none"/>
                <w:lang w:val="en-US" w:eastAsia="zh-CN"/>
              </w:rPr>
              <w:t>厚度负0.02</w:t>
            </w:r>
            <w:r>
              <w:rPr>
                <w:rFonts w:hint="eastAsia" w:ascii="宋体" w:hAnsi="宋体" w:eastAsia="宋体" w:cs="宋体"/>
                <w:i w:val="0"/>
                <w:iCs w:val="0"/>
                <w:color w:val="000000"/>
                <w:kern w:val="0"/>
                <w:sz w:val="21"/>
                <w:szCs w:val="21"/>
                <w:u w:val="none"/>
                <w:lang w:val="en-US" w:eastAsia="zh-CN" w:bidi="ar"/>
              </w:rPr>
              <w:t>铝卷</w:t>
            </w:r>
            <w:r>
              <w:rPr>
                <w:rFonts w:hint="eastAsia" w:eastAsiaTheme="minorEastAsia"/>
                <w:color w:val="auto"/>
                <w:szCs w:val="21"/>
                <w:highlight w:val="none"/>
              </w:rPr>
              <w:t>；</w:t>
            </w:r>
          </w:p>
          <w:p>
            <w:pPr>
              <w:spacing w:after="0" w:line="360" w:lineRule="auto"/>
              <w:ind w:firstLine="420" w:firstLineChars="200"/>
              <w:rPr>
                <w:rFonts w:eastAsiaTheme="minorEastAsia"/>
                <w:color w:val="auto"/>
                <w:szCs w:val="21"/>
                <w:highlight w:val="none"/>
              </w:rPr>
            </w:pPr>
            <w:r>
              <w:rPr>
                <w:rFonts w:hint="eastAsia" w:eastAsiaTheme="minorEastAsia"/>
                <w:color w:val="auto"/>
                <w:szCs w:val="21"/>
                <w:highlight w:val="none"/>
              </w:rPr>
              <w:t>2、供货合同——</w:t>
            </w:r>
            <w:r>
              <w:rPr>
                <w:rFonts w:hint="eastAsia" w:ascii="宋体" w:hAnsi="宋体" w:eastAsia="宋体" w:cs="宋体"/>
                <w:i w:val="0"/>
                <w:iCs w:val="0"/>
                <w:color w:val="000000"/>
                <w:kern w:val="0"/>
                <w:sz w:val="21"/>
                <w:szCs w:val="21"/>
                <w:u w:val="none"/>
                <w:lang w:val="en-US" w:eastAsia="zh-CN" w:bidi="ar"/>
              </w:rPr>
              <w:t>佛山市豫锋铝业有限公司</w:t>
            </w:r>
            <w:r>
              <w:rPr>
                <w:rFonts w:hint="eastAsia" w:eastAsiaTheme="minorEastAsia"/>
                <w:color w:val="auto"/>
                <w:szCs w:val="21"/>
                <w:highlight w:val="none"/>
              </w:rPr>
              <w:t>，2021.</w:t>
            </w:r>
            <w:r>
              <w:rPr>
                <w:rFonts w:hint="eastAsia" w:eastAsiaTheme="minorEastAsia"/>
                <w:color w:val="auto"/>
                <w:szCs w:val="21"/>
                <w:highlight w:val="none"/>
                <w:lang w:val="en-US" w:eastAsia="zh-CN"/>
              </w:rPr>
              <w:t>9</w:t>
            </w:r>
            <w:r>
              <w:rPr>
                <w:rFonts w:hint="eastAsia" w:eastAsiaTheme="minorEastAsia"/>
                <w:color w:val="auto"/>
                <w:szCs w:val="21"/>
                <w:highlight w:val="none"/>
              </w:rPr>
              <w:t>.</w:t>
            </w:r>
            <w:r>
              <w:rPr>
                <w:rFonts w:hint="eastAsia" w:eastAsiaTheme="minorEastAsia"/>
                <w:color w:val="auto"/>
                <w:szCs w:val="21"/>
                <w:highlight w:val="none"/>
                <w:lang w:val="en-US" w:eastAsia="zh-CN"/>
              </w:rPr>
              <w:t>1</w:t>
            </w:r>
            <w:r>
              <w:rPr>
                <w:rFonts w:hint="eastAsia" w:eastAsiaTheme="minorEastAsia"/>
                <w:color w:val="auto"/>
                <w:szCs w:val="21"/>
                <w:highlight w:val="none"/>
              </w:rPr>
              <w:t>，</w:t>
            </w:r>
            <w:r>
              <w:rPr>
                <w:rFonts w:hint="eastAsia" w:eastAsiaTheme="minorEastAsia"/>
                <w:color w:val="auto"/>
                <w:szCs w:val="21"/>
                <w:highlight w:val="none"/>
                <w:lang w:val="en-US" w:eastAsia="zh-CN"/>
              </w:rPr>
              <w:t>铝板</w:t>
            </w:r>
            <w:r>
              <w:rPr>
                <w:rFonts w:hint="eastAsia" w:eastAsiaTheme="minorEastAsia"/>
                <w:color w:val="auto"/>
                <w:szCs w:val="21"/>
                <w:highlight w:val="none"/>
              </w:rPr>
              <w:t>；</w:t>
            </w:r>
          </w:p>
          <w:p>
            <w:pPr>
              <w:pStyle w:val="3"/>
              <w:ind w:firstLine="420"/>
              <w:rPr>
                <w:rFonts w:hint="eastAsia" w:cs="Times New Roman" w:eastAsiaTheme="minorEastAsia"/>
                <w:color w:val="auto"/>
                <w:szCs w:val="21"/>
                <w:highlight w:val="none"/>
                <w:lang w:eastAsia="zh-CN"/>
              </w:rPr>
            </w:pPr>
            <w:r>
              <w:rPr>
                <w:rFonts w:hint="eastAsia" w:eastAsiaTheme="minorEastAsia"/>
                <w:color w:val="auto"/>
                <w:szCs w:val="21"/>
                <w:highlight w:val="none"/>
              </w:rPr>
              <w:t>3、</w:t>
            </w:r>
            <w:r>
              <w:rPr>
                <w:rFonts w:hint="eastAsia" w:eastAsiaTheme="minorEastAsia"/>
                <w:color w:val="auto"/>
                <w:szCs w:val="21"/>
                <w:highlight w:val="none"/>
                <w:lang w:val="en-US" w:eastAsia="zh-CN"/>
              </w:rPr>
              <w:t>购销合同——</w:t>
            </w:r>
            <w:r>
              <w:rPr>
                <w:rFonts w:hint="eastAsia" w:ascii="宋体" w:hAnsi="宋体" w:eastAsia="宋体" w:cs="宋体"/>
                <w:i w:val="0"/>
                <w:iCs w:val="0"/>
                <w:color w:val="000000"/>
                <w:kern w:val="0"/>
                <w:sz w:val="21"/>
                <w:szCs w:val="21"/>
                <w:u w:val="none"/>
                <w:lang w:val="en-US" w:eastAsia="zh-CN" w:bidi="ar"/>
              </w:rPr>
              <w:t>深圳金觅科新型建材有限公司</w:t>
            </w:r>
            <w:r>
              <w:rPr>
                <w:rFonts w:hint="eastAsia" w:ascii="Times New Roman" w:hAnsi="Times New Roman" w:cs="Times New Roman" w:eastAsiaTheme="minorEastAsia"/>
                <w:color w:val="auto"/>
                <w:szCs w:val="21"/>
                <w:highlight w:val="none"/>
                <w:lang w:eastAsia="zh-CN"/>
              </w:rPr>
              <w:t>，</w:t>
            </w:r>
            <w:r>
              <w:rPr>
                <w:rFonts w:hint="eastAsia" w:ascii="Times New Roman" w:hAnsi="Times New Roman" w:cs="Times New Roman" w:eastAsiaTheme="minorEastAsia"/>
                <w:color w:val="auto"/>
                <w:szCs w:val="21"/>
                <w:highlight w:val="none"/>
                <w:lang w:val="en-US" w:eastAsia="zh-CN"/>
              </w:rPr>
              <w:t>2021.</w:t>
            </w:r>
            <w:r>
              <w:rPr>
                <w:rFonts w:hint="eastAsia" w:cs="Times New Roman" w:eastAsiaTheme="minorEastAsia"/>
                <w:color w:val="auto"/>
                <w:szCs w:val="21"/>
                <w:highlight w:val="none"/>
                <w:lang w:val="en-US" w:eastAsia="zh-CN"/>
              </w:rPr>
              <w:t>6</w:t>
            </w:r>
            <w:r>
              <w:rPr>
                <w:rFonts w:hint="eastAsia" w:ascii="Times New Roman" w:hAnsi="Times New Roman" w:cs="Times New Roman" w:eastAsiaTheme="minorEastAsia"/>
                <w:color w:val="auto"/>
                <w:szCs w:val="21"/>
                <w:highlight w:val="none"/>
                <w:lang w:val="en-US" w:eastAsia="zh-CN"/>
              </w:rPr>
              <w:t>.</w:t>
            </w:r>
            <w:r>
              <w:rPr>
                <w:rFonts w:hint="eastAsia" w:cs="Times New Roman" w:eastAsiaTheme="minorEastAsia"/>
                <w:color w:val="auto"/>
                <w:szCs w:val="21"/>
                <w:highlight w:val="none"/>
                <w:lang w:val="en-US" w:eastAsia="zh-CN"/>
              </w:rPr>
              <w:t>3</w:t>
            </w:r>
            <w:r>
              <w:rPr>
                <w:rFonts w:hint="eastAsia" w:ascii="Times New Roman" w:hAnsi="Times New Roman" w:cs="Times New Roman" w:eastAsiaTheme="minorEastAsia"/>
                <w:color w:val="auto"/>
                <w:szCs w:val="21"/>
                <w:highlight w:val="none"/>
                <w:lang w:val="en-US" w:eastAsia="zh-CN"/>
              </w:rPr>
              <w:t>，</w:t>
            </w:r>
            <w:r>
              <w:rPr>
                <w:rFonts w:hint="eastAsia" w:cs="Times New Roman" w:eastAsiaTheme="minorEastAsia"/>
                <w:color w:val="auto"/>
                <w:szCs w:val="21"/>
                <w:highlight w:val="none"/>
                <w:lang w:val="en-US" w:eastAsia="zh-CN"/>
              </w:rPr>
              <w:t>NHC-1700</w:t>
            </w:r>
            <w:r>
              <w:rPr>
                <w:rFonts w:hint="eastAsia" w:ascii="宋体" w:hAnsi="宋体" w:eastAsia="宋体" w:cs="宋体"/>
                <w:i w:val="0"/>
                <w:iCs w:val="0"/>
                <w:color w:val="000000"/>
                <w:kern w:val="0"/>
                <w:sz w:val="21"/>
                <w:szCs w:val="21"/>
                <w:u w:val="none"/>
                <w:lang w:val="en-US" w:eastAsia="zh-CN" w:bidi="ar"/>
              </w:rPr>
              <w:t>高分子粘接膜</w:t>
            </w:r>
            <w:r>
              <w:rPr>
                <w:rFonts w:hint="eastAsia" w:cs="Times New Roman" w:eastAsiaTheme="minorEastAsia"/>
                <w:color w:val="auto"/>
                <w:szCs w:val="21"/>
                <w:highlight w:val="none"/>
                <w:lang w:eastAsia="zh-CN"/>
              </w:rPr>
              <w:t>；</w:t>
            </w:r>
          </w:p>
          <w:p>
            <w:pPr>
              <w:pStyle w:val="3"/>
              <w:ind w:firstLine="420"/>
              <w:rPr>
                <w:rFonts w:hint="default"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4、订购合同------</w:t>
            </w:r>
            <w:r>
              <w:rPr>
                <w:rFonts w:hint="eastAsia" w:ascii="宋体" w:hAnsi="宋体" w:eastAsia="宋体" w:cs="宋体"/>
                <w:i w:val="0"/>
                <w:iCs w:val="0"/>
                <w:color w:val="000000"/>
                <w:kern w:val="0"/>
                <w:sz w:val="21"/>
                <w:szCs w:val="21"/>
                <w:u w:val="none"/>
                <w:lang w:val="en-US" w:eastAsia="zh-CN" w:bidi="ar"/>
              </w:rPr>
              <w:t>郑州市佛山铝业有限公司</w:t>
            </w:r>
            <w:r>
              <w:rPr>
                <w:rFonts w:hint="eastAsia" w:ascii="宋体" w:hAnsi="宋体" w:cs="宋体"/>
                <w:i w:val="0"/>
                <w:iCs w:val="0"/>
                <w:color w:val="000000"/>
                <w:kern w:val="0"/>
                <w:sz w:val="21"/>
                <w:szCs w:val="21"/>
                <w:u w:val="none"/>
                <w:lang w:val="en-US" w:eastAsia="zh-CN" w:bidi="ar"/>
              </w:rPr>
              <w:t>，2021.9.16，0.5*1450*L</w:t>
            </w:r>
            <w:r>
              <w:rPr>
                <w:rFonts w:hint="eastAsia" w:ascii="宋体" w:hAnsi="宋体" w:eastAsia="宋体" w:cs="宋体"/>
                <w:i w:val="0"/>
                <w:iCs w:val="0"/>
                <w:color w:val="000000"/>
                <w:kern w:val="0"/>
                <w:sz w:val="21"/>
                <w:szCs w:val="21"/>
                <w:u w:val="none"/>
                <w:lang w:val="en-US" w:eastAsia="zh-CN" w:bidi="ar"/>
              </w:rPr>
              <w:t>粘接膜</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以上合同</w:t>
            </w:r>
            <w:r>
              <w:rPr>
                <w:rFonts w:hint="default" w:cs="Times New Roman" w:eastAsiaTheme="minorEastAsia"/>
                <w:color w:val="auto"/>
                <w:sz w:val="21"/>
                <w:szCs w:val="21"/>
                <w:lang w:val="en-US" w:eastAsia="zh-CN"/>
              </w:rPr>
              <w:t>明确了产品名称、数量、规格型号、</w:t>
            </w:r>
            <w:r>
              <w:rPr>
                <w:rFonts w:hint="eastAsia" w:cs="Times New Roman" w:eastAsiaTheme="minorEastAsia"/>
                <w:color w:val="auto"/>
                <w:sz w:val="21"/>
                <w:szCs w:val="21"/>
                <w:lang w:val="en-US" w:eastAsia="zh-CN"/>
              </w:rPr>
              <w:t>颜色等信息；</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default" w:cs="Times New Roman" w:eastAsiaTheme="minorEastAsia"/>
                <w:color w:val="auto"/>
                <w:sz w:val="21"/>
                <w:szCs w:val="21"/>
                <w:lang w:val="en-US" w:eastAsia="zh-CN"/>
              </w:rPr>
              <w:t>外部供方的管理基本满足要求。</w:t>
            </w:r>
          </w:p>
        </w:tc>
        <w:tc>
          <w:tcPr>
            <w:tcW w:w="1585" w:type="dxa"/>
            <w:vAlign w:val="center"/>
          </w:tcPr>
          <w:p>
            <w:pPr>
              <w:spacing w:beforeLines="50" w:afterLines="50"/>
              <w:rPr>
                <w:rFonts w:hint="default" w:ascii="Times New Roman" w:hAnsi="Times New Roman" w:cs="Times New Roman"/>
                <w:color w:val="auto"/>
                <w:lang w:val="en-US" w:eastAsia="zh-CN"/>
              </w:rPr>
            </w:pPr>
            <w:r>
              <w:rPr>
                <w:rFonts w:hint="eastAsia"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jc w:val="both"/>
              <w:rPr>
                <w:rFonts w:hint="default" w:ascii="Times New Roman" w:hAnsi="Times New Roman" w:cs="Times New Roman"/>
                <w:spacing w:val="-6"/>
                <w:sz w:val="21"/>
                <w:szCs w:val="21"/>
                <w:u w:val="none"/>
              </w:rPr>
            </w:pPr>
            <w:r>
              <w:rPr>
                <w:rFonts w:hint="default" w:ascii="Times New Roman" w:hAnsi="Times New Roman" w:cs="Times New Roman" w:eastAsiaTheme="minorEastAsia"/>
                <w:color w:val="auto"/>
                <w:sz w:val="21"/>
                <w:szCs w:val="21"/>
                <w:highlight w:val="none"/>
              </w:rPr>
              <w:t>交付后的活动</w:t>
            </w:r>
          </w:p>
        </w:tc>
        <w:tc>
          <w:tcPr>
            <w:tcW w:w="1093" w:type="dxa"/>
            <w:vAlign w:val="top"/>
          </w:tcPr>
          <w:p>
            <w:pPr>
              <w:jc w:val="center"/>
              <w:rPr>
                <w:rFonts w:hint="default" w:ascii="Times New Roman" w:hAnsi="Times New Roman" w:cs="Times New Roman"/>
                <w:color w:val="auto"/>
                <w:spacing w:val="-6"/>
                <w:kern w:val="2"/>
                <w:sz w:val="21"/>
                <w:szCs w:val="21"/>
                <w:lang w:val="en-US" w:eastAsia="zh-CN" w:bidi="ar-SA"/>
              </w:rPr>
            </w:pPr>
            <w:r>
              <w:rPr>
                <w:rFonts w:hint="default" w:ascii="宋体" w:hAnsi="宋体" w:eastAsia="宋体" w:cs="Arial"/>
                <w:kern w:val="2"/>
                <w:sz w:val="21"/>
                <w:szCs w:val="21"/>
                <w:lang w:val="en-US" w:eastAsia="zh-CN" w:bidi="ar-SA"/>
              </w:rPr>
              <w:t>Q</w:t>
            </w:r>
            <w:r>
              <w:rPr>
                <w:rFonts w:hint="eastAsia" w:ascii="宋体" w:hAnsi="宋体" w:cs="Arial"/>
                <w:kern w:val="2"/>
                <w:sz w:val="21"/>
                <w:szCs w:val="21"/>
                <w:lang w:val="en-US" w:eastAsia="zh-CN" w:bidi="ar-SA"/>
              </w:rPr>
              <w:t>：</w:t>
            </w:r>
            <w:r>
              <w:rPr>
                <w:rFonts w:hint="default" w:ascii="宋体" w:hAnsi="宋体" w:eastAsia="宋体" w:cs="Arial"/>
                <w:kern w:val="2"/>
                <w:sz w:val="21"/>
                <w:szCs w:val="21"/>
                <w:lang w:val="en-US" w:eastAsia="zh-CN" w:bidi="ar-SA"/>
              </w:rPr>
              <w:t>8.5.5</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cs="Times New Roman" w:eastAsiaTheme="minorEastAsia"/>
                <w:color w:val="auto"/>
                <w:sz w:val="21"/>
                <w:szCs w:val="21"/>
                <w:lang w:val="en-US" w:eastAsia="zh-CN"/>
              </w:rPr>
            </w:pPr>
            <w:r>
              <w:rPr>
                <w:rFonts w:hint="default" w:cs="Times New Roman" w:eastAsiaTheme="minorEastAsia"/>
                <w:color w:val="auto"/>
                <w:sz w:val="21"/>
                <w:szCs w:val="21"/>
                <w:lang w:val="en-US" w:eastAsia="zh-CN"/>
              </w:rPr>
              <w:t>该公司</w:t>
            </w:r>
            <w:r>
              <w:rPr>
                <w:rFonts w:hint="eastAsia" w:cs="Times New Roman" w:eastAsiaTheme="minorEastAsia"/>
                <w:color w:val="auto"/>
                <w:sz w:val="21"/>
                <w:szCs w:val="21"/>
                <w:lang w:val="en-US" w:eastAsia="zh-CN"/>
              </w:rPr>
              <w:t>建立由售后服务体系，</w:t>
            </w:r>
            <w:r>
              <w:rPr>
                <w:rFonts w:hint="default" w:cs="Times New Roman" w:eastAsiaTheme="minorEastAsia"/>
                <w:color w:val="auto"/>
                <w:sz w:val="21"/>
                <w:szCs w:val="21"/>
                <w:lang w:val="en-US" w:eastAsia="zh-CN"/>
              </w:rPr>
              <w:t>交付后主要是通过对客户人员进行技术培训、技术指导，同时跟踪项目进度、顾客回访、顾客反馈、顾客满意度调查等形式进行。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szCs w:val="22"/>
                <w:highlight w:val="none"/>
                <w:lang w:val="en-US" w:eastAsia="zh-CN"/>
              </w:rPr>
            </w:pPr>
            <w:r>
              <w:rPr>
                <w:rFonts w:hint="eastAsia" w:cs="Times New Roman" w:eastAsiaTheme="minorEastAsia"/>
                <w:color w:val="auto"/>
                <w:sz w:val="21"/>
                <w:szCs w:val="21"/>
                <w:lang w:val="en-US" w:eastAsia="zh-CN"/>
              </w:rPr>
              <w:t>介绍说本周期</w:t>
            </w:r>
            <w:r>
              <w:rPr>
                <w:rFonts w:hint="default" w:cs="Times New Roman" w:eastAsiaTheme="minorEastAsia"/>
                <w:color w:val="auto"/>
                <w:sz w:val="21"/>
                <w:szCs w:val="21"/>
                <w:lang w:val="en-US" w:eastAsia="zh-CN"/>
              </w:rPr>
              <w:t>无顾客不良反馈。</w:t>
            </w:r>
          </w:p>
        </w:tc>
        <w:tc>
          <w:tcPr>
            <w:tcW w:w="1585" w:type="dxa"/>
            <w:vAlign w:val="top"/>
          </w:tcPr>
          <w:p>
            <w:pPr>
              <w:rPr>
                <w:rFonts w:hint="default" w:ascii="Times New Roman" w:hAnsi="Times New Roman" w:cs="Times New Roman"/>
                <w:color w:val="auto"/>
                <w:lang w:val="en-US" w:eastAsia="zh-CN"/>
              </w:rPr>
            </w:pPr>
            <w:r>
              <w:rPr>
                <w:rFonts w:hint="eastAsia" w:cs="Times New Roman" w:eastAsiaTheme="minorEastAsia"/>
                <w:color w:val="auto"/>
                <w:sz w:val="21"/>
                <w:szCs w:val="21"/>
                <w:highlight w:val="none"/>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jc w:val="both"/>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u w:val="none"/>
              </w:rPr>
              <w:t>顾客满意</w:t>
            </w:r>
          </w:p>
        </w:tc>
        <w:tc>
          <w:tcPr>
            <w:tcW w:w="1093" w:type="dxa"/>
            <w:vAlign w:val="top"/>
          </w:tcPr>
          <w:p>
            <w:pPr>
              <w:jc w:val="center"/>
              <w:rPr>
                <w:rFonts w:hint="default" w:ascii="宋体" w:hAnsi="宋体" w:eastAsia="宋体" w:cs="Arial"/>
                <w:kern w:val="2"/>
                <w:sz w:val="21"/>
                <w:szCs w:val="21"/>
                <w:lang w:val="en-US" w:eastAsia="zh-CN" w:bidi="ar-SA"/>
              </w:rPr>
            </w:pPr>
            <w:r>
              <w:rPr>
                <w:rFonts w:hint="default" w:ascii="宋体" w:hAnsi="宋体" w:eastAsia="宋体" w:cs="Arial"/>
                <w:kern w:val="2"/>
                <w:sz w:val="21"/>
                <w:szCs w:val="21"/>
                <w:lang w:val="en-US" w:eastAsia="zh-CN" w:bidi="ar-SA"/>
              </w:rPr>
              <w:t>Q：9.1.2</w:t>
            </w:r>
          </w:p>
        </w:tc>
        <w:tc>
          <w:tcPr>
            <w:tcW w:w="10004" w:type="dxa"/>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查《顾客满意管理程序》，</w:t>
            </w:r>
            <w:r>
              <w:rPr>
                <w:rFonts w:hint="eastAsia" w:cs="Times New Roman" w:eastAsiaTheme="minorEastAsia"/>
                <w:color w:val="auto"/>
                <w:sz w:val="21"/>
                <w:szCs w:val="21"/>
                <w:lang w:val="en-US" w:eastAsia="zh-CN"/>
              </w:rPr>
              <w:t>有效文件；</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公司采用《顾客满意度调查表》收集与顾客满意度有关的信息，包括：产品质量、价格</w:t>
            </w:r>
            <w:r>
              <w:rPr>
                <w:rFonts w:hint="eastAsia" w:cs="Times New Roman" w:eastAsiaTheme="minorEastAsia"/>
                <w:color w:val="auto"/>
                <w:sz w:val="21"/>
                <w:szCs w:val="21"/>
                <w:lang w:val="en-US" w:eastAsia="zh-CN"/>
              </w:rPr>
              <w:t>比</w:t>
            </w:r>
            <w:r>
              <w:rPr>
                <w:rFonts w:hint="default" w:ascii="Times New Roman" w:hAnsi="Times New Roman" w:cs="Times New Roman" w:eastAsiaTheme="minorEastAsia"/>
                <w:color w:val="auto"/>
                <w:sz w:val="21"/>
                <w:szCs w:val="21"/>
              </w:rPr>
              <w:t>、</w:t>
            </w:r>
            <w:r>
              <w:rPr>
                <w:rFonts w:hint="eastAsia" w:cs="Times New Roman" w:eastAsiaTheme="minorEastAsia"/>
                <w:color w:val="auto"/>
                <w:sz w:val="21"/>
                <w:szCs w:val="21"/>
                <w:lang w:val="en-US" w:eastAsia="zh-CN"/>
              </w:rPr>
              <w:t>交货期</w:t>
            </w:r>
            <w:r>
              <w:rPr>
                <w:rFonts w:hint="default" w:ascii="Times New Roman" w:hAnsi="Times New Roman" w:cs="Times New Roman" w:eastAsiaTheme="minorEastAsia"/>
                <w:color w:val="auto"/>
                <w:sz w:val="21"/>
                <w:szCs w:val="21"/>
              </w:rPr>
              <w:t>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查2021年</w:t>
            </w:r>
            <w:r>
              <w:rPr>
                <w:rFonts w:hint="eastAsia"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月</w:t>
            </w:r>
            <w:r>
              <w:rPr>
                <w:rFonts w:hint="eastAsia"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日向顾客发出了《顾客满意度调查表》</w:t>
            </w:r>
            <w:r>
              <w:rPr>
                <w:rFonts w:hint="eastAsia"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份</w:t>
            </w:r>
            <w:r>
              <w:rPr>
                <w:rFonts w:hint="eastAsia"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对调查情况进行了汇总统计</w:t>
            </w:r>
            <w:r>
              <w:rPr>
                <w:rFonts w:hint="eastAsia" w:cs="Times New Roman" w:eastAsia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查见“顾客满意度统计分析报告”，</w:t>
            </w:r>
            <w:r>
              <w:rPr>
                <w:rFonts w:hint="default" w:ascii="Times New Roman" w:hAnsi="Times New Roman" w:cs="Times New Roman" w:eastAsiaTheme="minorEastAsia"/>
                <w:color w:val="auto"/>
                <w:sz w:val="21"/>
                <w:szCs w:val="21"/>
              </w:rPr>
              <w:t>顾客满意率为</w:t>
            </w:r>
            <w:r>
              <w:rPr>
                <w:rFonts w:hint="eastAsia" w:ascii="Times New Roman" w:hAnsi="Times New Roman" w:cs="Times New Roman" w:eastAsiaTheme="minorEastAsia"/>
                <w:color w:val="auto"/>
                <w:sz w:val="21"/>
                <w:szCs w:val="21"/>
                <w:lang w:val="en-US" w:eastAsia="zh-CN"/>
              </w:rPr>
              <w:t>9</w:t>
            </w:r>
            <w:r>
              <w:rPr>
                <w:rFonts w:hint="eastAsia" w:cs="Times New Roman" w:eastAsiaTheme="minorEastAsia"/>
                <w:color w:val="auto"/>
                <w:sz w:val="21"/>
                <w:szCs w:val="21"/>
                <w:lang w:val="en-US" w:eastAsia="zh-CN"/>
              </w:rPr>
              <w:t>8</w:t>
            </w:r>
            <w:r>
              <w:rPr>
                <w:rFonts w:hint="default" w:ascii="Times New Roman" w:hAnsi="Times New Roman" w:cs="Times New Roman" w:eastAsiaTheme="minorEastAsia"/>
                <w:color w:val="auto"/>
                <w:sz w:val="21"/>
                <w:szCs w:val="21"/>
              </w:rPr>
              <w:t>，达到质量目标。</w:t>
            </w:r>
          </w:p>
        </w:tc>
        <w:tc>
          <w:tcPr>
            <w:tcW w:w="1585" w:type="dxa"/>
            <w:vAlign w:val="top"/>
          </w:tcPr>
          <w:p>
            <w:pPr>
              <w:rPr>
                <w:rFonts w:hint="eastAsia" w:cs="Times New Roman" w:eastAsiaTheme="minorEastAsia"/>
                <w:color w:val="auto"/>
                <w:sz w:val="21"/>
                <w:szCs w:val="21"/>
                <w:highlight w:val="none"/>
                <w:lang w:val="en-US" w:eastAsia="zh-CN"/>
              </w:rPr>
            </w:pPr>
            <w:r>
              <w:rPr>
                <w:rFonts w:hint="eastAsia" w:cs="Times New Roman" w:eastAsiaTheme="minorEastAsia"/>
                <w:color w:val="auto"/>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spacing w:val="-6"/>
                <w:sz w:val="21"/>
                <w:szCs w:val="21"/>
                <w:u w:val="none"/>
              </w:rPr>
            </w:pPr>
            <w:r>
              <w:rPr>
                <w:rFonts w:hint="default" w:ascii="Times New Roman" w:hAnsi="Times New Roman" w:cs="Times New Roman"/>
                <w:spacing w:val="-6"/>
                <w:sz w:val="21"/>
                <w:szCs w:val="21"/>
                <w:u w:val="none"/>
              </w:rPr>
              <w:t>监视、测量、分析和评价总则</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spacing w:val="-6"/>
                <w:sz w:val="21"/>
                <w:szCs w:val="21"/>
                <w:u w:val="none"/>
              </w:rPr>
              <w:t>分析与评价</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QEO:9.1.1</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auto"/>
                <w:spacing w:val="-6"/>
                <w:kern w:val="2"/>
                <w:sz w:val="21"/>
                <w:szCs w:val="21"/>
                <w:lang w:val="en-US" w:eastAsia="zh-CN" w:bidi="ar-SA"/>
              </w:rPr>
              <w:t>Q:9.1.3</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公司保持有“监视和测量控制程序”，有效文件，无变化。</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保留“目标分解考核表”，对目标完成情况进行绩效考核；</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cs="Times New Roman"/>
                <w:color w:val="auto"/>
                <w:szCs w:val="22"/>
                <w:highlight w:val="none"/>
                <w:lang w:val="en-US" w:eastAsia="zh-CN"/>
              </w:rPr>
            </w:pPr>
            <w:r>
              <w:rPr>
                <w:rFonts w:hint="eastAsia" w:cs="Times New Roman"/>
                <w:color w:val="auto"/>
                <w:szCs w:val="22"/>
                <w:highlight w:val="none"/>
                <w:lang w:val="en-US" w:eastAsia="zh-CN"/>
              </w:rPr>
              <w:t>查见“</w:t>
            </w:r>
            <w:r>
              <w:rPr>
                <w:rFonts w:hint="eastAsia"/>
                <w:b w:val="0"/>
                <w:bCs/>
                <w:sz w:val="21"/>
                <w:szCs w:val="21"/>
              </w:rPr>
              <w:t>厂区卫生安全检查记录</w:t>
            </w:r>
            <w:r>
              <w:rPr>
                <w:rFonts w:hint="eastAsia" w:cs="Times New Roman"/>
                <w:color w:val="auto"/>
                <w:szCs w:val="22"/>
                <w:highlight w:val="none"/>
                <w:lang w:val="en-US" w:eastAsia="zh-CN"/>
              </w:rPr>
              <w:t>”，每月对设备维护、固废、能源消耗、消防等进行了检查，均正常，检查人：李虎；</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未有上级主管部门的监督检查。</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公司经营能遵守相关的法律法规，没有违反环境、职业健康安全法律法规现象，近期没有发生环境与职业健康安全的事故。</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FF"/>
                <w:kern w:val="2"/>
                <w:sz w:val="21"/>
                <w:lang w:val="en-US" w:eastAsia="zh-CN" w:bidi="ar-SA"/>
              </w:rPr>
            </w:pPr>
            <w:r>
              <w:rPr>
                <w:rFonts w:hint="default" w:ascii="Times New Roman" w:hAnsi="Times New Roman" w:cs="Times New Roman"/>
                <w:color w:val="auto"/>
              </w:rPr>
              <w:t>内部审核</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EO:9.2</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制定有《内部审核程序》，有效文件；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highlight w:val="none"/>
                <w:lang w:val="en-US" w:eastAsia="zh-CN"/>
              </w:rPr>
            </w:pPr>
            <w:r>
              <w:rPr>
                <w:rFonts w:hint="eastAsia"/>
                <w:highlight w:val="none"/>
                <w:lang w:val="en-US" w:eastAsia="zh-CN"/>
              </w:rPr>
              <w:t>2021年8月15日，对各部门进行了内审，保留了内审计划、内审记录、不符合报告、内审报告；内审覆盖了管理体系范围内的活动及标准的要求；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highlight w:val="none"/>
                <w:lang w:val="en-US" w:eastAsia="zh-CN"/>
              </w:rPr>
            </w:pPr>
            <w:r>
              <w:rPr>
                <w:rFonts w:hint="eastAsia"/>
                <w:highlight w:val="none"/>
                <w:lang w:val="en-US" w:eastAsia="zh-CN"/>
              </w:rPr>
              <w:t>本次内审开具不符合报告1份，已整改，有整改验收记录；</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highlight w:val="none"/>
                <w:lang w:val="en-US" w:eastAsia="zh-CN"/>
              </w:rPr>
            </w:pPr>
            <w:r>
              <w:rPr>
                <w:rFonts w:hint="eastAsia"/>
                <w:highlight w:val="none"/>
                <w:lang w:val="en-US" w:eastAsia="zh-CN"/>
              </w:rPr>
              <w:t>内审结论为：三体系运行基本良好，运行达到一定的效果，基本符合ISO9001:2015；ISO14001:2015；ISO45001:2018标准的要求，但仍存在不足，各部门应举一反三，对类似问题予以整改。</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highlight w:val="none"/>
                <w:lang w:val="en-US" w:eastAsia="zh-CN"/>
              </w:rPr>
            </w:pPr>
            <w:r>
              <w:rPr>
                <w:rFonts w:hint="default"/>
                <w:highlight w:val="none"/>
                <w:lang w:val="en-US" w:eastAsia="zh-CN"/>
              </w:rPr>
              <w:drawing>
                <wp:inline distT="0" distB="0" distL="114300" distR="114300">
                  <wp:extent cx="1810385" cy="2414270"/>
                  <wp:effectExtent l="0" t="0" r="18415" b="5080"/>
                  <wp:docPr id="10" name="图片 10" descr="03c43a8ee7ae5869ae0327f8576ce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3c43a8ee7ae5869ae0327f8576cec8"/>
                          <pic:cNvPicPr>
                            <a:picLocks noChangeAspect="1"/>
                          </pic:cNvPicPr>
                        </pic:nvPicPr>
                        <pic:blipFill>
                          <a:blip r:embed="rId11"/>
                          <a:stretch>
                            <a:fillRect/>
                          </a:stretch>
                        </pic:blipFill>
                        <pic:spPr>
                          <a:xfrm>
                            <a:off x="0" y="0"/>
                            <a:ext cx="1810385" cy="2414270"/>
                          </a:xfrm>
                          <a:prstGeom prst="rect">
                            <a:avLst/>
                          </a:prstGeom>
                        </pic:spPr>
                      </pic:pic>
                    </a:graphicData>
                  </a:graphic>
                </wp:inline>
              </w:drawing>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cs="Times New Roman"/>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27" w:type="dxa"/>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不合格和纠正措施</w:t>
            </w:r>
          </w:p>
        </w:tc>
        <w:tc>
          <w:tcPr>
            <w:tcW w:w="1093" w:type="dxa"/>
            <w:vAlign w:val="top"/>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color w:val="auto"/>
                <w:spacing w:val="-6"/>
                <w:kern w:val="2"/>
                <w:sz w:val="21"/>
                <w:szCs w:val="21"/>
                <w:lang w:val="en-US" w:eastAsia="zh-CN" w:bidi="ar-SA"/>
              </w:rPr>
            </w:pPr>
            <w:r>
              <w:rPr>
                <w:rFonts w:hint="default" w:ascii="Times New Roman" w:hAnsi="Times New Roman" w:cs="Times New Roman"/>
                <w:color w:val="auto"/>
                <w:spacing w:val="-6"/>
                <w:kern w:val="2"/>
                <w:sz w:val="21"/>
                <w:szCs w:val="21"/>
                <w:lang w:val="en-US" w:eastAsia="zh-CN" w:bidi="ar-SA"/>
              </w:rPr>
              <w:t>Q</w:t>
            </w:r>
            <w:r>
              <w:rPr>
                <w:rFonts w:hint="default" w:ascii="Times New Roman" w:hAnsi="Times New Roman" w:eastAsia="宋体" w:cs="Times New Roman"/>
                <w:color w:val="auto"/>
                <w:spacing w:val="-6"/>
                <w:kern w:val="2"/>
                <w:sz w:val="21"/>
                <w:szCs w:val="21"/>
                <w:lang w:val="en-US" w:eastAsia="zh-CN" w:bidi="ar-SA"/>
              </w:rPr>
              <w:t>EO:</w:t>
            </w:r>
            <w:r>
              <w:rPr>
                <w:rFonts w:hint="default" w:ascii="Times New Roman" w:hAnsi="Times New Roman" w:cs="Times New Roman"/>
                <w:color w:val="auto"/>
                <w:spacing w:val="-6"/>
                <w:sz w:val="21"/>
                <w:szCs w:val="21"/>
                <w:lang w:val="en-US" w:eastAsia="zh-CN"/>
              </w:rPr>
              <w:t>10.2</w:t>
            </w:r>
          </w:p>
        </w:tc>
        <w:tc>
          <w:tcPr>
            <w:tcW w:w="0" w:type="auto"/>
            <w:vAlign w:val="top"/>
          </w:tcPr>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公司建立“不符合、纠正和预防措施控制程序”、“事故调查处理控制程序”，有效文件，无变化。对纠正预防措施识别、评审、验证，事故事件报告、调查、处理等进行了策划。</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对日常检查和内审、管理评审中提出的不合格项进行了原因分析，并策划纠正措施并实施，对所采取的纠正措施进行验证。</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体系运行以来公司按照体系的要求，通过运行控制、加强培训，以及开展管理评审活动等方式采取预防措施，防止不符合/不合格的发生，不符合得到了有效控制。</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Cs w:val="22"/>
                <w:highlight w:val="none"/>
                <w:lang w:val="en-US" w:eastAsia="zh-CN"/>
              </w:rPr>
              <w:t>公司成立以来没有发生重大质量事故和投诉处罚，没有发生环境、职业健康安全事件和投诉处罚。</w:t>
            </w:r>
          </w:p>
          <w:p>
            <w:pPr>
              <w:pStyle w:val="3"/>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default" w:ascii="Times New Roman" w:hAnsi="Times New Roman" w:eastAsia="宋体" w:cs="Times New Roman"/>
                <w:color w:val="auto"/>
                <w:kern w:val="2"/>
                <w:sz w:val="21"/>
                <w:szCs w:val="22"/>
                <w:highlight w:val="none"/>
                <w:lang w:val="en-US" w:eastAsia="zh-CN" w:bidi="ar-SA"/>
              </w:rPr>
            </w:pPr>
            <w:r>
              <w:rPr>
                <w:rFonts w:hint="default" w:ascii="Times New Roman" w:hAnsi="Times New Roman" w:cs="Times New Roman"/>
                <w:color w:val="auto"/>
                <w:szCs w:val="22"/>
                <w:highlight w:val="none"/>
                <w:lang w:val="en-US" w:eastAsia="zh-CN"/>
              </w:rPr>
              <w:t>基本符合标准规定要求。</w:t>
            </w:r>
          </w:p>
        </w:tc>
        <w:tc>
          <w:tcPr>
            <w:tcW w:w="0" w:type="auto"/>
            <w:vAlign w:val="top"/>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auto"/>
                <w:kern w:val="2"/>
                <w:sz w:val="21"/>
                <w:lang w:val="en-US" w:eastAsia="zh-CN" w:bidi="ar-SA"/>
              </w:rPr>
            </w:pPr>
            <w:r>
              <w:rPr>
                <w:rFonts w:hint="eastAsia" w:cs="Times New Roman"/>
                <w:color w:val="auto"/>
                <w:lang w:val="en-US" w:eastAsia="zh-CN"/>
              </w:rPr>
              <w:t>Y</w:t>
            </w:r>
          </w:p>
        </w:tc>
      </w:tr>
    </w:tbl>
    <w:p>
      <w:r>
        <w:ptab w:relativeTo="margin" w:alignment="center" w:leader="none"/>
      </w:r>
    </w:p>
    <w:p/>
    <w:p/>
    <w:p>
      <w:pPr>
        <w:pStyle w:val="5"/>
      </w:pPr>
      <w:r>
        <w:rPr>
          <w:rFonts w:hint="eastAsia"/>
        </w:rPr>
        <w:t>说明：不符合标注N</w:t>
      </w:r>
    </w:p>
    <w:sectPr>
      <w:headerReference r:id="rId5" w:type="default"/>
      <w:footerReference r:id="rId6" w:type="default"/>
      <w:pgSz w:w="16838" w:h="11906" w:orient="landscape"/>
      <w:pgMar w:top="1440" w:right="1080" w:bottom="1440" w:left="1080" w:header="68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2"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rFonts w:hint="eastAsia"/>
                              <w:sz w:val="18"/>
                              <w:szCs w:val="18"/>
                            </w:rPr>
                          </w:pPr>
                          <w:r>
                            <w:rPr>
                              <w:rFonts w:hint="eastAsia"/>
                              <w:sz w:val="18"/>
                              <w:szCs w:val="18"/>
                            </w:rPr>
                            <w:t>ISC-B-II-12(05版）</w:t>
                          </w:r>
                        </w:p>
                      </w:txbxContent>
                    </wps:txbx>
                    <wps:bodyPr upright="1"/>
                  </wps:wsp>
                </a:graphicData>
              </a:graphic>
            </wp:anchor>
          </w:drawing>
        </mc:Choice>
        <mc:Fallback>
          <w:pict>
            <v:shape id="文本框 1"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hYp7ksEBAAB3AwAADgAAAAAAAAABACAAAAAnAQAAZHJzL2Uyb0Rv&#10;Yy54bWxQSwUGAAAAAAYABgBZAQAAWgUAAAAA&#10;">
              <v:fill on="t" focussize="0,0"/>
              <v:stroke on="f"/>
              <v:imagedata o:title=""/>
              <o:lock v:ext="edit" aspectratio="f"/>
              <v:textbox>
                <w:txbxContent>
                  <w:p>
                    <w:pPr>
                      <w:rPr>
                        <w:rFonts w:hint="eastAsia"/>
                        <w:sz w:val="18"/>
                        <w:szCs w:val="18"/>
                      </w:rPr>
                    </w:pPr>
                    <w:r>
                      <w:rPr>
                        <w:rFonts w:hint="eastAsia"/>
                        <w:sz w:val="18"/>
                        <w:szCs w:val="18"/>
                      </w:rPr>
                      <w:t>ISC-B-II-12(05版）</w:t>
                    </w:r>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DDE65F"/>
    <w:multiLevelType w:val="multilevel"/>
    <w:tmpl w:val="CFDDE65F"/>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879F6"/>
    <w:rsid w:val="1B1512E3"/>
    <w:rsid w:val="1F4B30D6"/>
    <w:rsid w:val="262E6969"/>
    <w:rsid w:val="26B944F0"/>
    <w:rsid w:val="28830F74"/>
    <w:rsid w:val="2D5339E0"/>
    <w:rsid w:val="37AA3F6E"/>
    <w:rsid w:val="38832645"/>
    <w:rsid w:val="4E846198"/>
    <w:rsid w:val="6BBE328E"/>
    <w:rsid w:val="7E4137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0</TotalTime>
  <ScaleCrop>false</ScaleCrop>
  <LinksUpToDate>false</LinksUpToDate>
  <CharactersWithSpaces>147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2021-10-23T10:37:44Z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2052-11.1.0.10938</vt:lpwstr>
  </property>
</Properties>
</file>