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22"/>
        <w:gridCol w:w="938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周戈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周文军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FSMS：4.1/4.2/4.3/4.4/5.1/5.2/5.3/6.1/6.2/6.3/7.1.1/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国家对消费者食品安全卫生等方面更为关注，即形成压力也为企业提供了良好的发展方向。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拥有良好的客户资源，公司自有的门店等，有良好的竞争力；公司品牌老艺人在本地具有较好的知名度和美誉度。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具有稳定的供应链和客户资源，价格方面也有竞争优势；公司品牌老艺人在本地具有较好的知名度和美誉度。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人员整体知识水平不够，对食品安全等方面的知识仍需不断学习。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外部环境包括监管部门运行异常/变化要求对本公司的威胁，</w:t>
                  </w: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食材价格的上涨，受疫情情况影响较大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现有客户资源较稳定，与供应商保持良好合作关系，市场需求不断提高，利用现有资源，开发及扩大市场，扩大服务范围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丽水市</w:t>
                  </w:r>
                  <w:r>
                    <w:rPr>
                      <w:rFonts w:hint="eastAsia"/>
                      <w:highlight w:val="none"/>
                    </w:rPr>
                    <w:t>市市场监督管理局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天恒煊宇包装制品有限公司、丽水市晨浩食品配料商行、杭州嘉惠食品有限公司等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  <w:bookmarkStart w:id="1" w:name="_GoBack"/>
                  <w:bookmarkEnd w:id="1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  <w:szCs w:val="21"/>
                    </w:rPr>
                    <w:t>各门店及其消费者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消费者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如：管理手册第4.3条款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面包、蛋糕的生产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>
                    <w:rPr>
                      <w:szCs w:val="21"/>
                    </w:rPr>
                    <w:t>位于</w:t>
                  </w:r>
                  <w:bookmarkEnd w:id="0"/>
                  <w:r>
                    <w:rPr>
                      <w:rFonts w:hint="eastAsia"/>
                      <w:szCs w:val="21"/>
                    </w:rPr>
                    <w:t>浙江省丽水市莲都区天宁工业区308幢的丽水市大拇指食品有限公司烘烤车间的面包、蛋糕的生产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 w:val="20"/>
                    </w:rPr>
                    <w:t>浙江省丽水市莲都区天宁工业区308幢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sz w:val="20"/>
                    </w:rPr>
                    <w:t>浙江省丽水市莲都区天宁工业区308幢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体系建立以来，2021.</w:t>
                  </w:r>
                  <w:r>
                    <w:t>4.1</w:t>
                  </w:r>
                  <w:r>
                    <w:rPr>
                      <w:rFonts w:hint="eastAsia"/>
                    </w:rPr>
                    <w:t>（改版）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和“0.5各部门及岗位职责”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和“0.2 食品安全方针、目标”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ind w:firstLine="422" w:firstLineChars="20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顾客为本 安全至上 品质至臻 追求卓越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管理手册第5.3条款和“0.4食品安全管理体系职能分配表”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采购部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行政办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gridSpan w:val="2"/>
          </w:tcPr>
          <w:p/>
        </w:tc>
        <w:tc>
          <w:tcPr>
            <w:tcW w:w="960" w:type="dxa"/>
            <w:gridSpan w:val="2"/>
          </w:tcPr>
          <w:p/>
        </w:tc>
        <w:tc>
          <w:tcPr>
            <w:tcW w:w="745" w:type="dxa"/>
          </w:tcPr>
          <w:p/>
        </w:tc>
        <w:tc>
          <w:tcPr>
            <w:tcW w:w="925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马保保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先生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1、竞争对手占据大部分市场份额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2、产品市场增长率下降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3、受到市场调整和经济转型影响</w:t>
                  </w:r>
                </w:p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4、市场需求减少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1、继续提高竞争能力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2、进一步发挥产品质量和价格优势</w:t>
                  </w:r>
                </w:p>
                <w:p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3、做好广告宣传，包括体系认证。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新冠疫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情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导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客户要货需求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不稳定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实做好防疫措施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完善售后服务体系，优质服务，提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高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客户满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意度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r>
                    <w:t>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1、继续提高竞争能力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2、进一步发挥产品质量和价格优势</w:t>
                  </w:r>
                </w:p>
                <w:p>
                  <w:r>
                    <w:rPr>
                      <w:rFonts w:hint="eastAsia" w:ascii="宋体" w:hAnsi="宋体"/>
                      <w:szCs w:val="21"/>
                    </w:rPr>
                    <w:t>3、做好广告宣传，包括体系认证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国</w:t>
                  </w:r>
                  <w:r>
                    <w:rPr>
                      <w:szCs w:val="24"/>
                    </w:rPr>
                    <w:t>家对农业</w:t>
                  </w:r>
                  <w:r>
                    <w:rPr>
                      <w:rFonts w:hint="eastAsia"/>
                      <w:szCs w:val="24"/>
                    </w:rPr>
                    <w:t>重</w:t>
                  </w:r>
                  <w:r>
                    <w:rPr>
                      <w:szCs w:val="24"/>
                    </w:rPr>
                    <w:t>视</w:t>
                  </w:r>
                  <w:r>
                    <w:rPr>
                      <w:rFonts w:hint="eastAsia"/>
                      <w:szCs w:val="24"/>
                    </w:rPr>
                    <w:t>，</w:t>
                  </w:r>
                  <w:r>
                    <w:rPr>
                      <w:szCs w:val="24"/>
                    </w:rPr>
                    <w:t>成本降低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积极拓展新市场,开发新客户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</w:tcPr>
          <w:p/>
        </w:tc>
        <w:tc>
          <w:tcPr>
            <w:tcW w:w="960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解决这些风险和机遇的行动;——企业提供了《应对机遇和风险措施清单》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p>
            <w:pPr>
              <w:rPr>
                <w:rFonts w:ascii="宋体" w:hAnsi="宋体"/>
              </w:rPr>
            </w:pPr>
            <w:r>
              <w:drawing>
                <wp:inline distT="0" distB="0" distL="0" distR="0">
                  <wp:extent cx="3019425" cy="3001645"/>
                  <wp:effectExtent l="0" t="0" r="9525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06" cy="300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建筑面积 3000 平方米；生产加工间1个（含配料、搅拌间、面包间、蛋糕间、丹麦间、烘烤间、成型间、包装间、发货间等）；设置有3个仓库，冷库1个冷藏库1个；化验室 1 个；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冷冻库、</w:t>
            </w:r>
            <w:r>
              <w:rPr>
                <w:rFonts w:hint="eastAsia" w:ascii="宋体" w:hAnsi="宋体"/>
                <w:szCs w:val="21"/>
                <w:u w:val="single"/>
              </w:rPr>
              <w:t>冷藏库</w:t>
            </w:r>
            <w:r>
              <w:rPr>
                <w:rFonts w:hint="eastAsia"/>
                <w:szCs w:val="21"/>
                <w:u w:val="single"/>
              </w:rPr>
              <w:t>、搅拌机、烤箱、烤炉、配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其他——不涉及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color w:val="000000"/>
                      <w:szCs w:val="21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60</w:t>
                  </w:r>
                </w:p>
              </w:tc>
            </w:tr>
          </w:tbl>
          <w:p/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71" w:type="dxa"/>
            <w:gridSpan w:val="2"/>
            <w:vMerge w:val="restart"/>
            <w:shd w:val="clear" w:color="auto" w:fill="auto"/>
          </w:tcPr>
          <w:p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90" w:hRule="atLeast"/>
        </w:trPr>
        <w:tc>
          <w:tcPr>
            <w:tcW w:w="2171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组织使用外部建立的FSMS要素，包括：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7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23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7"/>
              <w:gridCol w:w="2126"/>
              <w:gridCol w:w="2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加强对体系文件和食品安全知识的学习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5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gridSpan w:val="3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38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85" w:type="dxa"/>
            <w:gridSpan w:val="3"/>
            <w:vMerge w:val="continue"/>
          </w:tcPr>
          <w:p/>
        </w:tc>
        <w:tc>
          <w:tcPr>
            <w:tcW w:w="938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975E3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B0FD8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3C2CF7"/>
    <w:rsid w:val="003F6628"/>
    <w:rsid w:val="00410914"/>
    <w:rsid w:val="0042042C"/>
    <w:rsid w:val="0043306E"/>
    <w:rsid w:val="00454842"/>
    <w:rsid w:val="00477A20"/>
    <w:rsid w:val="0048201E"/>
    <w:rsid w:val="0048635A"/>
    <w:rsid w:val="0049215F"/>
    <w:rsid w:val="004B2B8D"/>
    <w:rsid w:val="004D161C"/>
    <w:rsid w:val="004E4DC2"/>
    <w:rsid w:val="004E753A"/>
    <w:rsid w:val="005203B8"/>
    <w:rsid w:val="00531A59"/>
    <w:rsid w:val="00536930"/>
    <w:rsid w:val="00542263"/>
    <w:rsid w:val="00546B47"/>
    <w:rsid w:val="00564E53"/>
    <w:rsid w:val="00571451"/>
    <w:rsid w:val="00593F84"/>
    <w:rsid w:val="005B7968"/>
    <w:rsid w:val="005C6B53"/>
    <w:rsid w:val="005D5659"/>
    <w:rsid w:val="005E2DC1"/>
    <w:rsid w:val="005F0777"/>
    <w:rsid w:val="005F098B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24B02"/>
    <w:rsid w:val="00770994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80E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10AC3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232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115FA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537D0E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491720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1366</Words>
  <Characters>7787</Characters>
  <Lines>64</Lines>
  <Paragraphs>18</Paragraphs>
  <TotalTime>0</TotalTime>
  <ScaleCrop>false</ScaleCrop>
  <LinksUpToDate>false</LinksUpToDate>
  <CharactersWithSpaces>9135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2021-10-12T08:57:58Z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57973854B74B42A685632860C9E58515</vt:lpwstr>
  </property>
</Properties>
</file>