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0868-2021-QEO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hint="eastAsia" w:eastAsia="隶书"/>
                <w:b/>
                <w:color w:val="000000" w:themeColor="text1"/>
                <w:sz w:val="22"/>
                <w:szCs w:val="22"/>
              </w:rPr>
              <w:t>中航工业南充可再生能源有限公司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hint="eastAsia"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rFonts w:hint="eastAsia"/>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rFonts w:hint="eastAsia"/>
                <w:sz w:val="22"/>
                <w:szCs w:val="22"/>
              </w:rPr>
              <w:t>91511300551020382D</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(不适用：8.3条款)</w:t>
            </w:r>
          </w:p>
          <w:p>
            <w:pPr>
              <w:snapToGrid w:val="0"/>
              <w:spacing w:line="0" w:lineRule="atLeast"/>
              <w:jc w:val="left"/>
              <w:rPr>
                <w:sz w:val="22"/>
                <w:szCs w:val="22"/>
              </w:rPr>
            </w:pPr>
            <w:r>
              <w:rPr>
                <w:rFonts w:hint="eastAsia"/>
                <w:sz w:val="22"/>
                <w:szCs w:val="22"/>
              </w:rPr>
              <w:t>□ GB/T 50430-2017 (不适用：  条款)；</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p>
            <w:pPr>
              <w:snapToGrid w:val="0"/>
              <w:spacing w:line="0" w:lineRule="atLeast"/>
              <w:jc w:val="left"/>
              <w:rPr>
                <w:sz w:val="22"/>
                <w:szCs w:val="22"/>
              </w:rPr>
            </w:pPr>
            <w:bookmarkStart w:id="8" w:name="EnMS勾选"/>
            <w:r>
              <w:rPr>
                <w:rFonts w:hint="eastAsia"/>
                <w:sz w:val="22"/>
                <w:szCs w:val="22"/>
              </w:rPr>
              <w:t>□</w:t>
            </w:r>
            <w:bookmarkEnd w:id="8"/>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rFonts w:hint="eastAsia"/>
                <w:sz w:val="22"/>
                <w:szCs w:val="22"/>
              </w:rPr>
              <w:t>Q:65,E:65,O:65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 xml:space="preserve">初次认证  </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 xml:space="preserve">监督审核  </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 xml:space="preserve">再认证 </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  □换证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  □地址变更  □认证范围变更（□扩大□缩小）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76" w:type="dxa"/>
            <w:vMerge w:val="restart"/>
          </w:tcPr>
          <w:p>
            <w:pPr>
              <w:snapToGrid w:val="0"/>
              <w:spacing w:line="0" w:lineRule="atLeast"/>
              <w:jc w:val="left"/>
              <w:rPr>
                <w:sz w:val="22"/>
                <w:szCs w:val="22"/>
                <w:highlight w:val="none"/>
              </w:rPr>
            </w:pPr>
            <w:r>
              <w:rPr>
                <w:rFonts w:hint="eastAsia"/>
                <w:sz w:val="22"/>
                <w:szCs w:val="22"/>
                <w:highlight w:val="none"/>
                <w:lang w:val="en-GB"/>
              </w:rPr>
              <w:t>公司名称</w:t>
            </w:r>
          </w:p>
        </w:tc>
        <w:tc>
          <w:tcPr>
            <w:tcW w:w="3373" w:type="dxa"/>
            <w:vMerge w:val="restart"/>
          </w:tcPr>
          <w:p>
            <w:pPr>
              <w:snapToGrid w:val="0"/>
              <w:spacing w:line="0" w:lineRule="atLeast"/>
              <w:jc w:val="left"/>
              <w:rPr>
                <w:sz w:val="22"/>
                <w:szCs w:val="22"/>
                <w:highlight w:val="none"/>
                <w:lang w:val="en-GB"/>
              </w:rPr>
            </w:pPr>
            <w:bookmarkStart w:id="16" w:name="组织名称Add1"/>
            <w:r>
              <w:rPr>
                <w:rFonts w:hint="eastAsia"/>
                <w:sz w:val="22"/>
                <w:szCs w:val="22"/>
                <w:highlight w:val="none"/>
              </w:rPr>
              <w:t>中航工业南充可再生能源有限公司</w:t>
            </w:r>
            <w:bookmarkEnd w:id="16"/>
          </w:p>
        </w:tc>
        <w:tc>
          <w:tcPr>
            <w:tcW w:w="5013" w:type="dxa"/>
            <w:gridSpan w:val="4"/>
            <w:vMerge w:val="restart"/>
          </w:tcPr>
          <w:p>
            <w:pPr>
              <w:snapToGrid w:val="0"/>
              <w:spacing w:line="0" w:lineRule="atLeast"/>
              <w:jc w:val="left"/>
              <w:rPr>
                <w:sz w:val="22"/>
                <w:szCs w:val="22"/>
                <w:highlight w:val="none"/>
              </w:rPr>
            </w:pPr>
            <w:bookmarkStart w:id="17" w:name="审核范围"/>
            <w:r>
              <w:rPr>
                <w:rFonts w:hint="eastAsia"/>
                <w:sz w:val="22"/>
                <w:szCs w:val="22"/>
                <w:highlight w:val="none"/>
              </w:rPr>
              <w:t>Q：垃圾焚烧发电（限许可范围内）</w:t>
            </w:r>
          </w:p>
          <w:p>
            <w:pPr>
              <w:snapToGrid w:val="0"/>
              <w:spacing w:line="0" w:lineRule="atLeast"/>
              <w:jc w:val="left"/>
              <w:rPr>
                <w:sz w:val="22"/>
                <w:szCs w:val="22"/>
                <w:highlight w:val="none"/>
              </w:rPr>
            </w:pPr>
            <w:r>
              <w:rPr>
                <w:rFonts w:hint="eastAsia"/>
                <w:sz w:val="22"/>
                <w:szCs w:val="22"/>
                <w:highlight w:val="none"/>
              </w:rPr>
              <w:t>E：垃圾焚烧发电（限许可范围内）所涉及场所的相关环境管理活动</w:t>
            </w:r>
          </w:p>
          <w:p>
            <w:pPr>
              <w:snapToGrid w:val="0"/>
              <w:spacing w:line="0" w:lineRule="atLeast"/>
              <w:jc w:val="left"/>
              <w:rPr>
                <w:sz w:val="22"/>
                <w:szCs w:val="22"/>
                <w:highlight w:val="none"/>
              </w:rPr>
            </w:pPr>
            <w:r>
              <w:rPr>
                <w:rFonts w:hint="eastAsia"/>
                <w:sz w:val="22"/>
                <w:szCs w:val="22"/>
                <w:highlight w:val="none"/>
              </w:rPr>
              <w:t>O：垃圾焚烧发电（限许可范围内）所涉及场所的相关职业健康安全管理活动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highlight w:val="none"/>
              </w:rPr>
            </w:pPr>
            <w:r>
              <w:rPr>
                <w:rFonts w:hint="eastAsia"/>
                <w:sz w:val="22"/>
                <w:szCs w:val="22"/>
                <w:highlight w:val="none"/>
                <w:lang w:val="en-GB"/>
              </w:rPr>
              <w:t>注册地址</w:t>
            </w:r>
          </w:p>
        </w:tc>
        <w:tc>
          <w:tcPr>
            <w:tcW w:w="3373" w:type="dxa"/>
          </w:tcPr>
          <w:p>
            <w:pPr>
              <w:snapToGrid w:val="0"/>
              <w:spacing w:line="0" w:lineRule="atLeast"/>
              <w:jc w:val="left"/>
              <w:rPr>
                <w:sz w:val="22"/>
                <w:szCs w:val="22"/>
                <w:highlight w:val="none"/>
              </w:rPr>
            </w:pPr>
            <w:bookmarkStart w:id="18" w:name="注册地址"/>
            <w:r>
              <w:rPr>
                <w:rFonts w:hint="eastAsia"/>
                <w:sz w:val="22"/>
                <w:szCs w:val="22"/>
                <w:highlight w:val="none"/>
                <w:lang w:val="en-GB"/>
              </w:rPr>
              <w:t>南充市嘉陵区李渡镇（南充化学工业园区内）</w:t>
            </w:r>
            <w:bookmarkEnd w:id="18"/>
          </w:p>
        </w:tc>
        <w:tc>
          <w:tcPr>
            <w:tcW w:w="5013" w:type="dxa"/>
            <w:gridSpan w:val="4"/>
            <w:vMerge w:val="continue"/>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highlight w:val="none"/>
                <w:lang w:val="en-GB"/>
              </w:rPr>
            </w:pPr>
            <w:r>
              <w:rPr>
                <w:rFonts w:hint="eastAsia"/>
                <w:sz w:val="22"/>
                <w:szCs w:val="22"/>
                <w:highlight w:val="none"/>
                <w:lang w:val="en-GB"/>
              </w:rPr>
              <w:t>经营地址</w:t>
            </w:r>
          </w:p>
        </w:tc>
        <w:tc>
          <w:tcPr>
            <w:tcW w:w="3373" w:type="dxa"/>
          </w:tcPr>
          <w:p>
            <w:pPr>
              <w:snapToGrid w:val="0"/>
              <w:spacing w:line="0" w:lineRule="atLeast"/>
              <w:jc w:val="left"/>
              <w:rPr>
                <w:sz w:val="22"/>
                <w:szCs w:val="22"/>
                <w:highlight w:val="none"/>
              </w:rPr>
            </w:pPr>
            <w:bookmarkStart w:id="19" w:name="办公地址"/>
            <w:r>
              <w:rPr>
                <w:rFonts w:hint="eastAsia"/>
                <w:sz w:val="22"/>
                <w:szCs w:val="22"/>
                <w:highlight w:val="none"/>
                <w:lang w:val="en-GB"/>
              </w:rPr>
              <w:t>南充市嘉陵区李渡镇（南充化学工业园区内）</w:t>
            </w:r>
            <w:bookmarkEnd w:id="19"/>
          </w:p>
        </w:tc>
        <w:tc>
          <w:tcPr>
            <w:tcW w:w="5013" w:type="dxa"/>
            <w:gridSpan w:val="4"/>
            <w:vMerge w:val="continue"/>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highlight w:val="none"/>
              </w:rPr>
            </w:pPr>
            <w:r>
              <w:rPr>
                <w:rFonts w:cs="Arial"/>
                <w:b/>
                <w:bCs/>
                <w:sz w:val="22"/>
                <w:szCs w:val="16"/>
                <w:highlight w:val="none"/>
              </w:rPr>
              <w:t>Company Name</w:t>
            </w:r>
            <w:r>
              <w:rPr>
                <w:rFonts w:hint="eastAsia"/>
                <w:sz w:val="22"/>
                <w:szCs w:val="22"/>
                <w:highlight w:val="none"/>
                <w:lang w:val="en-GB"/>
              </w:rPr>
              <w:t>公司名称</w:t>
            </w:r>
          </w:p>
        </w:tc>
        <w:tc>
          <w:tcPr>
            <w:tcW w:w="3373" w:type="dxa"/>
            <w:vMerge w:val="restart"/>
          </w:tcPr>
          <w:p>
            <w:pPr>
              <w:snapToGrid w:val="0"/>
              <w:spacing w:line="0" w:lineRule="atLeast"/>
              <w:jc w:val="left"/>
              <w:rPr>
                <w:sz w:val="22"/>
                <w:szCs w:val="22"/>
                <w:highlight w:val="none"/>
              </w:rPr>
            </w:pPr>
            <w:r>
              <w:rPr>
                <w:sz w:val="22"/>
                <w:szCs w:val="22"/>
                <w:highlight w:val="none"/>
              </w:rPr>
              <w:t>AVIC Nanchong Renewable Energy Co., Ltd.</w:t>
            </w:r>
          </w:p>
        </w:tc>
        <w:tc>
          <w:tcPr>
            <w:tcW w:w="1337" w:type="dxa"/>
          </w:tcPr>
          <w:p>
            <w:pPr>
              <w:snapToGrid w:val="0"/>
              <w:spacing w:line="0" w:lineRule="atLeast"/>
              <w:jc w:val="left"/>
              <w:rPr>
                <w:sz w:val="22"/>
                <w:szCs w:val="22"/>
                <w:highlight w:val="none"/>
              </w:rPr>
            </w:pPr>
            <w:r>
              <w:rPr>
                <w:rFonts w:hint="eastAsia"/>
                <w:sz w:val="22"/>
                <w:szCs w:val="22"/>
                <w:highlight w:val="none"/>
              </w:rPr>
              <w:t>QMS/EcMS</w:t>
            </w:r>
          </w:p>
        </w:tc>
        <w:tc>
          <w:tcPr>
            <w:tcW w:w="3676" w:type="dxa"/>
            <w:gridSpan w:val="3"/>
          </w:tcPr>
          <w:p>
            <w:pPr>
              <w:snapToGrid w:val="0"/>
              <w:spacing w:line="0" w:lineRule="atLeast"/>
              <w:jc w:val="left"/>
              <w:rPr>
                <w:sz w:val="21"/>
                <w:szCs w:val="16"/>
                <w:highlight w:val="none"/>
              </w:rPr>
            </w:pPr>
            <w:r>
              <w:rPr>
                <w:sz w:val="21"/>
                <w:szCs w:val="16"/>
                <w:highlight w:val="none"/>
              </w:rPr>
              <w:t>Waste incineration for power generation (within the permitted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EMS</w:t>
            </w:r>
          </w:p>
        </w:tc>
        <w:tc>
          <w:tcPr>
            <w:tcW w:w="3676" w:type="dxa"/>
            <w:gridSpan w:val="3"/>
          </w:tcPr>
          <w:p>
            <w:pPr>
              <w:snapToGrid w:val="0"/>
              <w:spacing w:line="0" w:lineRule="atLeast"/>
              <w:jc w:val="left"/>
              <w:rPr>
                <w:sz w:val="21"/>
                <w:szCs w:val="16"/>
                <w:highlight w:val="none"/>
              </w:rPr>
            </w:pPr>
            <w:r>
              <w:rPr>
                <w:sz w:val="21"/>
                <w:szCs w:val="16"/>
                <w:highlight w:val="none"/>
              </w:rPr>
              <w:t>Environmental management activities of sites involved in waste incineration power generation (within the permitted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highlight w:val="none"/>
              </w:rPr>
            </w:pPr>
            <w:r>
              <w:rPr>
                <w:sz w:val="22"/>
                <w:szCs w:val="16"/>
                <w:highlight w:val="none"/>
              </w:rPr>
              <w:fldChar w:fldCharType="begin"/>
            </w:r>
            <w:r>
              <w:rPr>
                <w:sz w:val="22"/>
                <w:szCs w:val="16"/>
                <w:highlight w:val="none"/>
                <w:lang w:val="en-GB"/>
              </w:rPr>
              <w:instrText xml:space="preserve"> STYLEREF TM_street \* MERGEFORMAT </w:instrText>
            </w:r>
            <w:r>
              <w:rPr>
                <w:sz w:val="22"/>
                <w:szCs w:val="16"/>
                <w:highlight w:val="none"/>
              </w:rPr>
              <w:fldChar w:fldCharType="end"/>
            </w:r>
            <w:r>
              <w:rPr>
                <w:rFonts w:cs="Arial"/>
                <w:b/>
                <w:bCs/>
                <w:sz w:val="22"/>
                <w:szCs w:val="16"/>
                <w:highlight w:val="none"/>
              </w:rPr>
              <w:t>Registration Address</w:t>
            </w:r>
            <w:r>
              <w:rPr>
                <w:rFonts w:hint="eastAsia"/>
                <w:sz w:val="22"/>
                <w:szCs w:val="22"/>
                <w:highlight w:val="none"/>
                <w:lang w:val="en-GB"/>
              </w:rPr>
              <w:t>注册地址</w:t>
            </w:r>
          </w:p>
        </w:tc>
        <w:tc>
          <w:tcPr>
            <w:tcW w:w="3373" w:type="dxa"/>
            <w:vMerge w:val="restart"/>
          </w:tcPr>
          <w:p>
            <w:pPr>
              <w:snapToGrid w:val="0"/>
              <w:spacing w:line="0" w:lineRule="atLeast"/>
              <w:jc w:val="left"/>
              <w:rPr>
                <w:sz w:val="22"/>
                <w:szCs w:val="22"/>
                <w:highlight w:val="none"/>
              </w:rPr>
            </w:pPr>
            <w:r>
              <w:rPr>
                <w:sz w:val="22"/>
                <w:szCs w:val="22"/>
                <w:highlight w:val="none"/>
              </w:rPr>
              <w:t>Lidu Town, Jialing District, Nanchong City (in Nanchong Chemical Industrial Park)</w:t>
            </w:r>
          </w:p>
        </w:tc>
        <w:tc>
          <w:tcPr>
            <w:tcW w:w="1337" w:type="dxa"/>
          </w:tcPr>
          <w:p>
            <w:pPr>
              <w:snapToGrid w:val="0"/>
              <w:spacing w:line="0" w:lineRule="atLeast"/>
              <w:jc w:val="left"/>
              <w:rPr>
                <w:sz w:val="22"/>
                <w:szCs w:val="22"/>
                <w:highlight w:val="none"/>
              </w:rPr>
            </w:pPr>
            <w:r>
              <w:rPr>
                <w:rFonts w:hint="eastAsia"/>
                <w:sz w:val="22"/>
                <w:szCs w:val="22"/>
                <w:highlight w:val="none"/>
              </w:rPr>
              <w:t>OHSMS</w:t>
            </w:r>
          </w:p>
        </w:tc>
        <w:tc>
          <w:tcPr>
            <w:tcW w:w="3676" w:type="dxa"/>
            <w:gridSpan w:val="3"/>
          </w:tcPr>
          <w:p>
            <w:pPr>
              <w:snapToGrid w:val="0"/>
              <w:spacing w:line="0" w:lineRule="atLeast"/>
              <w:jc w:val="left"/>
              <w:rPr>
                <w:sz w:val="22"/>
                <w:szCs w:val="22"/>
                <w:highlight w:val="none"/>
              </w:rPr>
            </w:pPr>
            <w:r>
              <w:rPr>
                <w:sz w:val="22"/>
                <w:szCs w:val="22"/>
                <w:highlight w:val="none"/>
              </w:rPr>
              <w:t>Relevant occupational health and safety management activities in places involved in waste incineration power generation (within the permitted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EnMS</w:t>
            </w:r>
          </w:p>
        </w:tc>
        <w:tc>
          <w:tcPr>
            <w:tcW w:w="3676" w:type="dxa"/>
            <w:gridSpan w:val="3"/>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highlight w:val="none"/>
                <w:lang w:val="en-GB"/>
              </w:rPr>
            </w:pPr>
            <w:r>
              <w:rPr>
                <w:rFonts w:cs="Arial"/>
                <w:b/>
                <w:bCs/>
                <w:sz w:val="22"/>
                <w:szCs w:val="16"/>
                <w:highlight w:val="none"/>
              </w:rPr>
              <w:t>Operation Address</w:t>
            </w:r>
            <w:r>
              <w:rPr>
                <w:rFonts w:hint="eastAsia"/>
                <w:sz w:val="22"/>
                <w:szCs w:val="22"/>
                <w:highlight w:val="none"/>
              </w:rPr>
              <w:t>经营</w:t>
            </w:r>
            <w:r>
              <w:rPr>
                <w:rFonts w:hint="eastAsia"/>
                <w:sz w:val="22"/>
                <w:szCs w:val="22"/>
                <w:highlight w:val="none"/>
                <w:lang w:val="en-GB"/>
              </w:rPr>
              <w:t>地址</w:t>
            </w:r>
          </w:p>
        </w:tc>
        <w:tc>
          <w:tcPr>
            <w:tcW w:w="3373" w:type="dxa"/>
            <w:vMerge w:val="restart"/>
          </w:tcPr>
          <w:p>
            <w:pPr>
              <w:snapToGrid w:val="0"/>
              <w:spacing w:line="0" w:lineRule="atLeast"/>
              <w:jc w:val="left"/>
              <w:rPr>
                <w:sz w:val="22"/>
                <w:szCs w:val="22"/>
                <w:highlight w:val="none"/>
              </w:rPr>
            </w:pPr>
            <w:r>
              <w:rPr>
                <w:sz w:val="22"/>
                <w:szCs w:val="22"/>
                <w:highlight w:val="none"/>
              </w:rPr>
              <w:t>Lidu Town, Jialing District, Nanchong City (in Nanchong Chemical Industrial Park)</w:t>
            </w:r>
          </w:p>
        </w:tc>
        <w:tc>
          <w:tcPr>
            <w:tcW w:w="1337" w:type="dxa"/>
          </w:tcPr>
          <w:p>
            <w:pPr>
              <w:snapToGrid w:val="0"/>
              <w:spacing w:line="0" w:lineRule="atLeast"/>
              <w:jc w:val="left"/>
              <w:rPr>
                <w:sz w:val="22"/>
                <w:szCs w:val="22"/>
                <w:highlight w:val="none"/>
              </w:rPr>
            </w:pPr>
            <w:r>
              <w:rPr>
                <w:rFonts w:hint="eastAsia"/>
                <w:sz w:val="22"/>
                <w:szCs w:val="22"/>
                <w:highlight w:val="none"/>
              </w:rPr>
              <w:t>FSMS</w:t>
            </w:r>
          </w:p>
        </w:tc>
        <w:tc>
          <w:tcPr>
            <w:tcW w:w="3676" w:type="dxa"/>
            <w:gridSpan w:val="3"/>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bookmarkStart w:id="20" w:name="_GoBack"/>
      <w:bookmarkEnd w:id="20"/>
    </w:p>
    <w:p>
      <w:pPr>
        <w:pStyle w:val="2"/>
        <w:spacing w:line="0" w:lineRule="atLeast"/>
        <w:ind w:firstLine="0"/>
        <w:rPr>
          <w:b/>
          <w:color w:val="000000" w:themeColor="text1"/>
          <w:sz w:val="18"/>
          <w:szCs w:val="18"/>
          <w:lang w:val="en-GB"/>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3073" o:spid="_x0000_s3073"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388A"/>
    <w:rsid w:val="00442D76"/>
    <w:rsid w:val="006D388A"/>
    <w:rsid w:val="00B1469C"/>
    <w:rsid w:val="014A5ED8"/>
    <w:rsid w:val="06BE5B01"/>
    <w:rsid w:val="073B0542"/>
    <w:rsid w:val="16810CB8"/>
    <w:rsid w:val="1BFE3E75"/>
    <w:rsid w:val="34E9213B"/>
    <w:rsid w:val="35044609"/>
    <w:rsid w:val="505944F1"/>
    <w:rsid w:val="59B0433C"/>
    <w:rsid w:val="64361701"/>
    <w:rsid w:val="69B23636"/>
    <w:rsid w:val="6C776398"/>
    <w:rsid w:val="729938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388</Words>
  <Characters>2216</Characters>
  <Lines>18</Lines>
  <Paragraphs>5</Paragraphs>
  <TotalTime>13</TotalTime>
  <ScaleCrop>false</ScaleCrop>
  <LinksUpToDate>false</LinksUpToDate>
  <CharactersWithSpaces>2599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2021-09-02T08:02:46Z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