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3"/>
        <w:gridCol w:w="843"/>
        <w:gridCol w:w="844"/>
        <w:gridCol w:w="5"/>
        <w:gridCol w:w="903"/>
        <w:gridCol w:w="1900"/>
        <w:gridCol w:w="182"/>
        <w:gridCol w:w="943"/>
        <w:gridCol w:w="19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3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四川金土地实业有限公司</w:t>
            </w:r>
            <w:bookmarkEnd w:id="7"/>
          </w:p>
        </w:tc>
        <w:tc>
          <w:tcPr>
            <w:tcW w:w="11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6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Q:33.02.01,34.01.02,34.06.00,35.07.00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E:33.02.01,34.01.01,34.01.02,34.06.00,35.07.00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Cs w:val="21"/>
              </w:rPr>
              <w:t>O:33.02.01,34.01.01,34.01.02,34.06.00,35.07.00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Q:33.02.01,34.01.02,34.06.00,35.07.00</w:t>
            </w:r>
          </w:p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E:33.02.01,34.01.01,34.01.02,34.06.00,35.07.00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Cs w:val="21"/>
              </w:rPr>
              <w:t>O:33.02.01,34.01.01,34.01.02,34.06.00,35.07.00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测绘服务：合同签订→收集资料→现场测绘→编制、绘图→编制项目报告（文本、图件）→变更（需要时）→交付客户。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土地规划：合同签订→收集资料→编制、绘图→编制项目报告（文本、图件）→变更（需要时）→交付客户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重要环境因素：潜在火灾、固体废弃（含危废）物排放、资源能源消耗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不可接受风险：潜在火灾、触电、交通事故、新冠病毒肺炎感染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文平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07345B7"/>
    <w:rsid w:val="208B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2021-09-05T16:43:44Z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