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eastAsia="隶书"/>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lang w:eastAsia="zh-CN"/>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lang w:val="en-US" w:eastAsia="zh-CN"/>
        </w:rPr>
        <w:t>En</w:t>
      </w:r>
      <w:r>
        <w:rPr>
          <w:rFonts w:hint="eastAsia"/>
          <w:b/>
          <w:sz w:val="22"/>
          <w:szCs w:val="22"/>
        </w:rPr>
        <w:t>MS</w:t>
      </w:r>
      <w:r>
        <w:rPr>
          <w:rFonts w:hint="eastAsia"/>
          <w:b/>
          <w:sz w:val="22"/>
          <w:szCs w:val="22"/>
          <w:lang w:val="en-US" w:eastAsia="zh-CN"/>
        </w:rPr>
        <w:t xml:space="preserve"> </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tbl>
      <w:tblPr>
        <w:tblStyle w:val="9"/>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88"/>
        <w:gridCol w:w="1337"/>
        <w:gridCol w:w="1295"/>
        <w:gridCol w:w="1443"/>
        <w:gridCol w:w="1500"/>
        <w:gridCol w:w="16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2249" w:type="dxa"/>
            <w:gridSpan w:val="2"/>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受审核方名称</w:t>
            </w:r>
          </w:p>
        </w:tc>
        <w:tc>
          <w:tcPr>
            <w:tcW w:w="5263" w:type="dxa"/>
            <w:gridSpan w:val="4"/>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bookmarkStart w:id="7" w:name="组织名称"/>
            <w:r>
              <w:rPr>
                <w:rFonts w:hint="eastAsia" w:ascii="Times New Roman" w:hAnsi="Times New Roman" w:eastAsia="宋体" w:cs="Times New Roman"/>
                <w:b/>
                <w:sz w:val="20"/>
                <w:lang w:val="en-US" w:eastAsia="zh-CN"/>
              </w:rPr>
              <w:t>成都泰冠家具有限公司</w:t>
            </w:r>
            <w:bookmarkEnd w:id="7"/>
          </w:p>
        </w:tc>
        <w:tc>
          <w:tcPr>
            <w:tcW w:w="1500" w:type="dxa"/>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专业小类/</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项目代码</w:t>
            </w:r>
          </w:p>
        </w:tc>
        <w:tc>
          <w:tcPr>
            <w:tcW w:w="1661" w:type="dxa"/>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Q:23.01.01,23.01.04</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O:23.01.01,23.01.04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教师姓名</w:t>
            </w:r>
          </w:p>
        </w:tc>
        <w:tc>
          <w:tcPr>
            <w:tcW w:w="2525" w:type="dxa"/>
            <w:gridSpan w:val="2"/>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张永娟</w:t>
            </w:r>
          </w:p>
        </w:tc>
        <w:tc>
          <w:tcPr>
            <w:tcW w:w="1295"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专业</w:t>
            </w:r>
          </w:p>
        </w:tc>
        <w:tc>
          <w:tcPr>
            <w:tcW w:w="1443"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Q:23.01.01,23.01.04</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O:23.01.01,23.01.04</w:t>
            </w:r>
          </w:p>
        </w:tc>
        <w:tc>
          <w:tcPr>
            <w:tcW w:w="1500"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培训地点</w:t>
            </w:r>
          </w:p>
        </w:tc>
        <w:tc>
          <w:tcPr>
            <w:tcW w:w="1661" w:type="dxa"/>
            <w:vAlign w:val="center"/>
          </w:tcPr>
          <w:p>
            <w:pPr>
              <w:snapToGrid w:val="0"/>
              <w:spacing w:line="280" w:lineRule="exact"/>
              <w:jc w:val="left"/>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受培训人员</w:t>
            </w:r>
          </w:p>
        </w:tc>
        <w:tc>
          <w:tcPr>
            <w:tcW w:w="1340"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姓名</w:t>
            </w:r>
          </w:p>
        </w:tc>
        <w:tc>
          <w:tcPr>
            <w:tcW w:w="1188"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杨珍全</w:t>
            </w:r>
          </w:p>
        </w:tc>
        <w:tc>
          <w:tcPr>
            <w:tcW w:w="1337"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张心</w:t>
            </w:r>
          </w:p>
        </w:tc>
        <w:tc>
          <w:tcPr>
            <w:tcW w:w="1295" w:type="dxa"/>
            <w:vAlign w:val="center"/>
          </w:tcPr>
          <w:p>
            <w:pPr>
              <w:snapToGrid w:val="0"/>
              <w:spacing w:line="280" w:lineRule="exact"/>
              <w:jc w:val="left"/>
              <w:rPr>
                <w:rFonts w:hint="eastAsia" w:ascii="Times New Roman" w:hAnsi="Times New Roman" w:eastAsia="宋体" w:cs="Times New Roman"/>
                <w:b/>
                <w:sz w:val="20"/>
                <w:lang w:val="en-US" w:eastAsia="zh-CN"/>
              </w:rPr>
            </w:pPr>
          </w:p>
        </w:tc>
        <w:tc>
          <w:tcPr>
            <w:tcW w:w="1443" w:type="dxa"/>
            <w:vAlign w:val="center"/>
          </w:tcPr>
          <w:p>
            <w:pPr>
              <w:snapToGrid w:val="0"/>
              <w:spacing w:line="280" w:lineRule="exact"/>
              <w:jc w:val="left"/>
              <w:rPr>
                <w:rFonts w:hint="eastAsia" w:ascii="Times New Roman" w:hAnsi="Times New Roman" w:eastAsia="宋体" w:cs="Times New Roman"/>
                <w:b/>
                <w:sz w:val="20"/>
                <w:lang w:val="en-US" w:eastAsia="zh-CN"/>
              </w:rPr>
            </w:pPr>
          </w:p>
        </w:tc>
        <w:tc>
          <w:tcPr>
            <w:tcW w:w="1500" w:type="dxa"/>
            <w:vAlign w:val="center"/>
          </w:tcPr>
          <w:p>
            <w:pPr>
              <w:snapToGrid w:val="0"/>
              <w:spacing w:line="280" w:lineRule="exact"/>
              <w:jc w:val="left"/>
              <w:rPr>
                <w:rFonts w:hint="eastAsia" w:ascii="Times New Roman" w:hAnsi="Times New Roman" w:eastAsia="宋体" w:cs="Times New Roman"/>
                <w:b/>
                <w:sz w:val="20"/>
                <w:lang w:val="en-US" w:eastAsia="zh-CN"/>
              </w:rPr>
            </w:pPr>
          </w:p>
        </w:tc>
        <w:tc>
          <w:tcPr>
            <w:tcW w:w="1661" w:type="dxa"/>
            <w:vAlign w:val="center"/>
          </w:tcPr>
          <w:p>
            <w:pPr>
              <w:snapToGrid w:val="0"/>
              <w:spacing w:line="280" w:lineRule="exact"/>
              <w:jc w:val="left"/>
              <w:rPr>
                <w:rFonts w:hint="eastAsia" w:ascii="Times New Roman" w:hAnsi="Times New Roman" w:eastAsia="宋体" w:cs="Times New Roman"/>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2249" w:type="dxa"/>
            <w:gridSpan w:val="2"/>
            <w:tcBorders>
              <w:left w:val="single" w:color="auto" w:sz="4"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生产工艺/</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服务过程</w:t>
            </w:r>
          </w:p>
        </w:tc>
        <w:tc>
          <w:tcPr>
            <w:tcW w:w="8424" w:type="dxa"/>
            <w:gridSpan w:val="6"/>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办公家具组装工艺流程：下料——铣型——组装——精裁——检验—打包入库</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pict>
                <v:shape id="_x0000_s1026" o:spid="_x0000_s1026" o:spt="202" type="#_x0000_t202" style="position:absolute;left:0pt;margin-left:180.75pt;margin-top:0.2pt;height:23.4pt;width:27pt;z-index:-251657216;mso-width-relative:page;mso-height-relative:page;" stroked="f" coordsize="21600,21600">
                  <v:path/>
                  <v:fill focussize="0,0"/>
                  <v:stroke on="f"/>
                  <v:imagedata o:title=""/>
                  <o:lock v:ext="edit" grouping="f" rotation="f" text="f" aspectratio="f"/>
                  <v:textbox>
                    <w:txbxContent>
                      <w:p/>
                    </w:txbxContent>
                  </v:textbox>
                </v:shape>
              </w:pict>
            </w:r>
            <w:r>
              <w:rPr>
                <w:rFonts w:hint="eastAsia" w:ascii="Times New Roman" w:hAnsi="Times New Roman" w:eastAsia="宋体" w:cs="Times New Roman"/>
                <w:b/>
                <w:sz w:val="20"/>
                <w:lang w:val="en-US" w:eastAsia="zh-CN"/>
              </w:rPr>
              <w:t>钢制产品组装工艺流程：开料-造型-封边-排孔-组装-包装入库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rPr>
            </w:pPr>
            <w:r>
              <w:rPr>
                <w:rFonts w:hint="eastAsia"/>
                <w:b/>
                <w:sz w:val="20"/>
              </w:rPr>
              <w:t>特殊过程的控制</w:t>
            </w:r>
            <w:r>
              <w:rPr>
                <w:b/>
                <w:sz w:val="20"/>
              </w:rPr>
              <w:t>/</w:t>
            </w:r>
          </w:p>
        </w:tc>
        <w:tc>
          <w:tcPr>
            <w:tcW w:w="8424" w:type="dxa"/>
            <w:gridSpan w:val="6"/>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风险：生产过程通过拟定产品生产规范和环境安全管理制度对过程和质量进行控制，存在的风险有造成质量、安全和环境污染事故。</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需确认/关键过程：无。</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控制措施：通过加强设备控制，拟定作业指导书，并对操作工培训进行控制。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不可接受风险：触电、火灾、机械伤害。</w:t>
            </w:r>
            <w:bookmarkStart w:id="8" w:name="_GoBack"/>
            <w:bookmarkEnd w:id="8"/>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控制措施：通过制定管理方案和应急预案进行控制。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40" w:lineRule="auto"/>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b/>
                <w:sz w:val="20"/>
              </w:rPr>
            </w:pPr>
            <w:r>
              <w:rPr>
                <w:rFonts w:hint="eastAsia" w:ascii="Times New Roman" w:hAnsi="Times New Roman" w:cs="Times New Roman"/>
                <w:b/>
                <w:sz w:val="20"/>
                <w:lang w:val="en-US" w:eastAsia="zh-CN"/>
              </w:rPr>
              <w:t>木质家具制造业职业病危害预防控制规范DB31/T 677-2012、木质家具制造业大气污染物排放标准DB11/ 1202-2015、木家具中有害物质限量</w:t>
            </w:r>
            <w:r>
              <w:rPr>
                <w:rFonts w:hint="eastAsia" w:ascii="Times New Roman" w:hAnsi="Times New Roman" w:cs="Times New Roman"/>
                <w:b/>
                <w:sz w:val="20"/>
                <w:lang w:val="en-US" w:eastAsia="zh-CN"/>
              </w:rPr>
              <w:tab/>
            </w:r>
            <w:r>
              <w:rPr>
                <w:rFonts w:hint="eastAsia" w:ascii="Times New Roman" w:hAnsi="Times New Roman" w:cs="Times New Roman"/>
                <w:b/>
                <w:sz w:val="20"/>
                <w:lang w:val="en-US" w:eastAsia="zh-CN"/>
              </w:rPr>
              <w:t>GB 18584-2001、木家具通用技术条件</w:t>
            </w:r>
            <w:r>
              <w:rPr>
                <w:rFonts w:hint="eastAsia" w:ascii="Times New Roman" w:hAnsi="Times New Roman" w:cs="Times New Roman"/>
                <w:b/>
                <w:sz w:val="20"/>
                <w:lang w:val="en-US" w:eastAsia="zh-CN"/>
              </w:rPr>
              <w:tab/>
            </w:r>
            <w:r>
              <w:rPr>
                <w:rFonts w:hint="eastAsia" w:ascii="Times New Roman" w:hAnsi="Times New Roman" w:cs="Times New Roman"/>
                <w:b/>
                <w:sz w:val="20"/>
                <w:lang w:val="en-US" w:eastAsia="zh-CN"/>
              </w:rPr>
              <w:t>GB/T 3324-2017、金属家具通用技术条件GB/T3325-2013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提供有产品委外检验报告（见附件）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hint="eastAsia" w:ascii="宋体"/>
                <w:b/>
                <w:sz w:val="22"/>
                <w:szCs w:val="22"/>
              </w:rPr>
            </w:pPr>
            <w:r>
              <w:rPr>
                <w:rFonts w:hint="eastAsia" w:ascii="宋体"/>
                <w:b/>
                <w:sz w:val="22"/>
                <w:szCs w:val="22"/>
              </w:rPr>
              <w:t>填表人</w:t>
            </w:r>
          </w:p>
          <w:p>
            <w:pPr>
              <w:snapToGrid w:val="0"/>
              <w:spacing w:line="280" w:lineRule="exact"/>
              <w:jc w:val="center"/>
              <w:rPr>
                <w:rFonts w:hint="eastAsia"/>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25" w:type="dxa"/>
            <w:gridSpan w:val="2"/>
            <w:vAlign w:val="center"/>
          </w:tcPr>
          <w:p>
            <w:pPr>
              <w:snapToGrid w:val="0"/>
              <w:spacing w:line="280" w:lineRule="exact"/>
              <w:jc w:val="center"/>
              <w:rPr>
                <w:b/>
                <w:sz w:val="20"/>
              </w:rPr>
            </w:pPr>
          </w:p>
        </w:tc>
        <w:tc>
          <w:tcPr>
            <w:tcW w:w="4238" w:type="dxa"/>
            <w:gridSpan w:val="3"/>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1661" w:type="dxa"/>
            <w:vAlign w:val="center"/>
          </w:tcPr>
          <w:p>
            <w:pPr>
              <w:snapToGrid w:val="0"/>
              <w:spacing w:line="280" w:lineRule="exact"/>
              <w:jc w:val="center"/>
              <w:rPr>
                <w:b/>
                <w:sz w:val="20"/>
              </w:rPr>
            </w:pPr>
            <w:r>
              <w:rPr>
                <w:rFonts w:hint="eastAsia"/>
                <w:b/>
                <w:sz w:val="20"/>
                <w:lang w:val="en-US" w:eastAsia="zh-CN"/>
              </w:rPr>
              <w:t>2021.8.29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b/>
                <w:sz w:val="20"/>
              </w:rPr>
            </w:pPr>
            <w:r>
              <w:rPr>
                <w:rFonts w:hint="eastAsia" w:ascii="宋体"/>
                <w:b/>
                <w:sz w:val="22"/>
                <w:szCs w:val="22"/>
              </w:rPr>
              <w:t>审核组长</w:t>
            </w:r>
          </w:p>
        </w:tc>
        <w:tc>
          <w:tcPr>
            <w:tcW w:w="5263" w:type="dxa"/>
            <w:gridSpan w:val="4"/>
            <w:tcBorders>
              <w:bottom w:val="single" w:color="auto" w:sz="8" w:space="0"/>
            </w:tcBorders>
            <w:vAlign w:val="center"/>
          </w:tcPr>
          <w:p>
            <w:pPr>
              <w:snapToGrid w:val="0"/>
              <w:spacing w:line="280" w:lineRule="exact"/>
              <w:jc w:val="both"/>
              <w:rPr>
                <w:b/>
                <w:sz w:val="20"/>
              </w:rPr>
            </w:pPr>
            <w:r>
              <w:rPr>
                <w:rFonts w:hint="eastAsia"/>
                <w:b/>
                <w:sz w:val="22"/>
                <w:szCs w:val="22"/>
              </w:rPr>
              <w:drawing>
                <wp:anchor distT="0" distB="0" distL="114300" distR="114300" simplePos="0" relativeHeight="251660288" behindDoc="0" locked="0" layoutInCell="1" allowOverlap="1">
                  <wp:simplePos x="0" y="0"/>
                  <wp:positionH relativeFrom="column">
                    <wp:posOffset>896620</wp:posOffset>
                  </wp:positionH>
                  <wp:positionV relativeFrom="paragraph">
                    <wp:posOffset>26035</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p>
        </w:tc>
        <w:tc>
          <w:tcPr>
            <w:tcW w:w="1500" w:type="dxa"/>
            <w:tcBorders>
              <w:bottom w:val="single" w:color="auto" w:sz="8" w:space="0"/>
            </w:tcBorders>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1661" w:type="dxa"/>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2021.8.29</w:t>
            </w:r>
          </w:p>
        </w:tc>
      </w:tr>
    </w:tbl>
    <w:p>
      <w:pPr>
        <w:snapToGrid w:val="0"/>
        <w:rPr>
          <w:rFonts w:ascii="宋体"/>
          <w:b/>
          <w:sz w:val="22"/>
          <w:szCs w:val="22"/>
        </w:rPr>
      </w:pPr>
    </w:p>
    <w:p>
      <w:pPr>
        <w:snapToGrid w:val="0"/>
        <w:rPr>
          <w:rFonts w:hint="default" w:ascii="宋体" w:eastAsia="宋体"/>
          <w:b/>
          <w:spacing w:val="-6"/>
          <w:sz w:val="21"/>
          <w:szCs w:val="21"/>
          <w:lang w:val="en-US" w:eastAsia="zh-CN"/>
        </w:rPr>
      </w:pPr>
      <w:r>
        <w:rPr>
          <w:rFonts w:hint="eastAsia" w:ascii="宋体" w:hAnsi="Times New Roman" w:eastAsia="宋体" w:cs="Times New Roman"/>
          <w:b/>
          <w:spacing w:val="-6"/>
          <w:sz w:val="21"/>
          <w:szCs w:val="21"/>
        </w:rPr>
        <w:t>注：</w:t>
      </w:r>
      <w:r>
        <w:rPr>
          <w:rFonts w:hint="eastAsia" w:ascii="宋体"/>
          <w:b/>
          <w:spacing w:val="-6"/>
          <w:sz w:val="21"/>
          <w:szCs w:val="21"/>
        </w:rPr>
        <w:t>如有其他培训内容或空格不够可另加附页</w:t>
      </w:r>
    </w:p>
    <w:sectPr>
      <w:headerReference r:id="rId5" w:type="default"/>
      <w:pgSz w:w="11906" w:h="16838"/>
      <w:pgMar w:top="1134" w:right="1077" w:bottom="1134" w:left="1077" w:header="454" w:footer="482"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202" type="#_x0000_t202" style="position:absolute;left:0pt;margin-left:348.4pt;margin-top:11.35pt;height:20.2pt;width:109.3pt;z-index:251659264;mso-width-relative:page;mso-height-relative:page;" fillcolor="#FFFFFF" filled="t" stroked="f" coordsize="21600,21600">
          <v:path/>
          <v:fill on="t" color2="#FFFFFF"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lang w:val="en-US" w:eastAsia="zh-CN"/>
                  </w:rPr>
                  <w:t xml:space="preserve">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single" w:color="auto" w:sz="4" w:space="1"/>
      </w:pBdr>
      <w:spacing w:line="320" w:lineRule="exact"/>
      <w:ind w:firstLine="756" w:firstLineChars="400"/>
      <w:jc w:val="left"/>
      <w:rPr>
        <w:sz w:val="20"/>
      </w:rPr>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BD2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6">
    <w:name w:val="Balloon Text"/>
    <w:basedOn w:val="1"/>
    <w:link w:val="13"/>
    <w:semiHidden/>
    <w:unhideWhenUsed/>
    <w:qFormat/>
    <w:uiPriority w:val="99"/>
    <w:rPr>
      <w:sz w:val="18"/>
      <w:szCs w:val="18"/>
    </w:rPr>
  </w:style>
  <w:style w:type="paragraph" w:styleId="7">
    <w:name w:val="footer"/>
    <w:basedOn w:val="1"/>
    <w:link w:val="11"/>
    <w:qFormat/>
    <w:uiPriority w:val="99"/>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link w:val="7"/>
    <w:qFormat/>
    <w:locked/>
    <w:uiPriority w:val="99"/>
    <w:rPr>
      <w:rFonts w:ascii="Times New Roman" w:hAnsi="Times New Roman" w:eastAsia="宋体" w:cs="Times New Roman"/>
      <w:sz w:val="18"/>
      <w:szCs w:val="18"/>
    </w:rPr>
  </w:style>
  <w:style w:type="character" w:customStyle="1" w:styleId="12">
    <w:name w:val="页眉 Char"/>
    <w:link w:val="8"/>
    <w:qFormat/>
    <w:locked/>
    <w:uiPriority w:val="99"/>
    <w:rPr>
      <w:rFonts w:ascii="Times New Roman" w:hAnsi="Times New Roman" w:eastAsia="宋体" w:cs="Times New Roman"/>
      <w:sz w:val="18"/>
      <w:szCs w:val="18"/>
    </w:rPr>
  </w:style>
  <w:style w:type="character" w:customStyle="1" w:styleId="13">
    <w:name w:val="批注框文本 Char"/>
    <w:link w:val="6"/>
    <w:semiHidden/>
    <w:qFormat/>
    <w:uiPriority w:val="99"/>
    <w:rPr>
      <w:rFonts w:ascii="Times New Roman" w:hAnsi="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Words>
  <Characters>253</Characters>
  <Lines>2</Lines>
  <Paragraphs>1</Paragraphs>
  <TotalTime>2</TotalTime>
  <ScaleCrop>false</ScaleCrop>
  <LinksUpToDate>false</LinksUpToDate>
  <CharactersWithSpaces>296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宋明珠</cp:lastModifiedBy>
  <dcterms:modified xsi:type="dcterms:W3CDTF">2021-09-11T13:22:37Z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2052-11.1.0.10700</vt:lpwstr>
  </property>
</Properties>
</file>