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河北永鑫体育用品有限公司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E勾选"/>
          </w:p>
          <w:p>
            <w:pPr>
              <w:keepNext w:val="0"/>
              <w:keepLines w:val="0"/>
              <w:pageBreakBefore w:val="0"/>
              <w:kinsoku/>
              <w:wordWrap/>
              <w:overflowPunct/>
              <w:topLinePunct w:val="0"/>
              <w:autoSpaceDE/>
              <w:autoSpaceDN/>
              <w:bidi w:val="0"/>
              <w:adjustRightInd/>
              <w:spacing w:after="0"/>
              <w:textAlignment w:val="auto"/>
              <w:rPr>
                <w:rFonts w:hint="eastAsia"/>
                <w:sz w:val="22"/>
                <w:szCs w:val="22"/>
              </w:rPr>
            </w:pPr>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sz w:val="22"/>
                <w:szCs w:val="22"/>
              </w:rPr>
            </w:pPr>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0906-2021-QEO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张星</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2020-N1QMS-1263722</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9" w:name="_GoBack"/>
      <w:bookmarkEnd w:id="9"/>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3F0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2021-09-08T02:58:11Z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