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0837-2021-Q</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四川永固公共安全设备检测有限公司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四川永固公共安全设备检测有限公司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成都市武侯区武侯电商产业功能区管委会武兴四路166号西部智谷D区3栋1单元701</w:t>
            </w:r>
            <w:bookmarkEnd w:id="6"/>
          </w:p>
        </w:tc>
        <w:tc>
          <w:tcPr>
            <w:tcW w:w="1242" w:type="dxa"/>
            <w:vMerge w:val="restart"/>
            <w:vAlign w:val="center"/>
          </w:tcPr>
          <w:p>
            <w:r>
              <w:rPr>
                <w:rFonts w:hint="eastAsia"/>
              </w:rPr>
              <w:t>邮编</w:t>
            </w:r>
          </w:p>
        </w:tc>
        <w:tc>
          <w:tcPr>
            <w:tcW w:w="1771" w:type="dxa"/>
          </w:tcPr>
          <w:p>
            <w:bookmarkStart w:id="7" w:name="注册邮编"/>
            <w:r>
              <w:t>610045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成都市武侯区武侯电商产业功能区管委会武兴四路166号西部智谷D区3栋1单元701</w:t>
            </w:r>
            <w:bookmarkEnd w:id="8"/>
          </w:p>
        </w:tc>
        <w:tc>
          <w:tcPr>
            <w:tcW w:w="1242" w:type="dxa"/>
            <w:vMerge w:val="continue"/>
            <w:vAlign w:val="center"/>
          </w:tcPr>
          <w:p/>
        </w:tc>
        <w:tc>
          <w:tcPr>
            <w:tcW w:w="1771" w:type="dxa"/>
          </w:tcPr>
          <w:p>
            <w:bookmarkStart w:id="9" w:name="办公邮编"/>
            <w:r>
              <w:t>610045</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r>
              <w:rPr>
                <w:rFonts w:hint="eastAsia" w:ascii="宋体" w:hAnsi="宋体" w:cs="宋体"/>
                <w:color w:val="000000"/>
                <w:kern w:val="0"/>
                <w:szCs w:val="24"/>
                <w:lang w:val="en-US" w:eastAsia="zh-CN"/>
              </w:rPr>
              <w:t>赵芹</w:t>
            </w:r>
            <w:r>
              <w:rPr>
                <w:rFonts w:hint="eastAsia" w:ascii="宋体" w:hAnsi="宋体" w:cs="宋体"/>
                <w:color w:val="000000"/>
                <w:kern w:val="0"/>
                <w:szCs w:val="24"/>
              </w:rPr>
              <w:t xml:space="preserve"> </w:t>
            </w:r>
          </w:p>
        </w:tc>
        <w:tc>
          <w:tcPr>
            <w:tcW w:w="1313" w:type="dxa"/>
            <w:vAlign w:val="center"/>
          </w:tcPr>
          <w:p>
            <w:r>
              <w:rPr>
                <w:rFonts w:hint="eastAsia"/>
              </w:rPr>
              <w:t>电话.</w:t>
            </w:r>
          </w:p>
        </w:tc>
        <w:tc>
          <w:tcPr>
            <w:tcW w:w="2180" w:type="dxa"/>
            <w:vAlign w:val="center"/>
          </w:tcPr>
          <w:p>
            <w:r>
              <w:rPr>
                <w:rFonts w:hint="eastAsia" w:ascii="宋体" w:hAnsi="宋体" w:cs="宋体"/>
                <w:color w:val="000000"/>
                <w:kern w:val="0"/>
                <w:szCs w:val="24"/>
                <w:lang w:val="en-US" w:eastAsia="zh-CN"/>
              </w:rPr>
              <w:t>13228211348</w:t>
            </w:r>
          </w:p>
        </w:tc>
        <w:tc>
          <w:tcPr>
            <w:tcW w:w="1242" w:type="dxa"/>
            <w:vAlign w:val="center"/>
          </w:tcPr>
          <w:p>
            <w:r>
              <w:rPr>
                <w:rFonts w:hint="eastAsia"/>
              </w:rPr>
              <w:t>传真</w:t>
            </w:r>
          </w:p>
        </w:tc>
        <w:tc>
          <w:tcPr>
            <w:tcW w:w="1771" w:type="dxa"/>
          </w:tcPr>
          <w:p>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1" w:name="法人"/>
            <w:r>
              <w:t>姚林桂</w:t>
            </w:r>
            <w:bookmarkEnd w:id="11"/>
          </w:p>
        </w:tc>
        <w:tc>
          <w:tcPr>
            <w:tcW w:w="1313" w:type="dxa"/>
            <w:vAlign w:val="center"/>
          </w:tcPr>
          <w:p>
            <w:r>
              <w:rPr>
                <w:rFonts w:hint="eastAsia"/>
              </w:rPr>
              <w:t>管理者代表</w:t>
            </w:r>
          </w:p>
        </w:tc>
        <w:tc>
          <w:tcPr>
            <w:tcW w:w="2180" w:type="dxa"/>
          </w:tcPr>
          <w:p>
            <w:bookmarkStart w:id="12" w:name="管理者代表"/>
            <w:r>
              <w:t>刘记</w:t>
            </w:r>
            <w:bookmarkEnd w:id="12"/>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Times New Roman" w:hAnsi="Times New Roman" w:eastAsia="宋体" w:cs="Times New Roman"/>
              </w:rPr>
              <w:t>签订《委托协议书》</w:t>
            </w:r>
            <w:r>
              <w:rPr>
                <w:rFonts w:hint="eastAsia" w:ascii="Times New Roman" w:hAnsi="Times New Roman" w:eastAsia="宋体" w:cs="Times New Roman"/>
                <w:lang w:eastAsia="zh-CN"/>
              </w:rPr>
              <w:t>—</w:t>
            </w:r>
            <w:r>
              <w:rPr>
                <w:rFonts w:hint="eastAsia" w:ascii="Times New Roman" w:hAnsi="Times New Roman" w:eastAsia="宋体" w:cs="Times New Roman"/>
              </w:rPr>
              <w:t>出具《检测任务单》</w:t>
            </w:r>
            <w:r>
              <w:rPr>
                <w:rFonts w:hint="eastAsia" w:ascii="Times New Roman" w:hAnsi="Times New Roman" w:eastAsia="宋体" w:cs="Times New Roman"/>
                <w:lang w:eastAsia="zh-CN"/>
              </w:rPr>
              <w:t>—</w:t>
            </w:r>
            <w:r>
              <w:rPr>
                <w:rFonts w:hint="eastAsia" w:ascii="Times New Roman" w:hAnsi="Times New Roman" w:eastAsia="宋体" w:cs="Times New Roman"/>
              </w:rPr>
              <w:t>检测任务分解</w:t>
            </w:r>
            <w:r>
              <w:rPr>
                <w:rFonts w:hint="eastAsia" w:ascii="Times New Roman" w:hAnsi="Times New Roman" w:eastAsia="宋体" w:cs="Times New Roman"/>
                <w:lang w:eastAsia="zh-CN"/>
              </w:rPr>
              <w:t>—</w:t>
            </w:r>
            <w:r>
              <w:rPr>
                <w:rFonts w:hint="eastAsia" w:ascii="Times New Roman" w:hAnsi="Times New Roman" w:eastAsia="宋体" w:cs="Times New Roman"/>
              </w:rPr>
              <w:t>领取检测器具</w:t>
            </w:r>
            <w:r>
              <w:rPr>
                <w:rFonts w:hint="eastAsia" w:ascii="Times New Roman" w:hAnsi="Times New Roman" w:eastAsia="宋体" w:cs="Times New Roman"/>
                <w:lang w:eastAsia="zh-CN"/>
              </w:rPr>
              <w:t>—</w:t>
            </w:r>
            <w:r>
              <w:rPr>
                <w:rFonts w:hint="eastAsia" w:ascii="Times New Roman" w:hAnsi="Times New Roman" w:eastAsia="宋体" w:cs="Times New Roman"/>
              </w:rPr>
              <w:t>现场检测与记录</w:t>
            </w:r>
            <w:r>
              <w:rPr>
                <w:rFonts w:hint="eastAsia" w:ascii="Times New Roman" w:hAnsi="Times New Roman" w:eastAsia="宋体" w:cs="Times New Roman"/>
                <w:lang w:eastAsia="zh-CN"/>
              </w:rPr>
              <w:t>—</w:t>
            </w:r>
            <w:r>
              <w:rPr>
                <w:rFonts w:hint="eastAsia" w:ascii="Times New Roman" w:hAnsi="Times New Roman" w:eastAsia="宋体" w:cs="Times New Roman"/>
              </w:rPr>
              <w:t>报告书编制与打印</w:t>
            </w:r>
            <w:r>
              <w:rPr>
                <w:rFonts w:hint="eastAsia" w:ascii="Times New Roman" w:hAnsi="Times New Roman" w:eastAsia="宋体" w:cs="Times New Roman"/>
                <w:lang w:eastAsia="zh-CN"/>
              </w:rPr>
              <w:t>—</w:t>
            </w:r>
            <w:r>
              <w:rPr>
                <w:rFonts w:hint="eastAsia" w:ascii="Times New Roman" w:hAnsi="Times New Roman" w:eastAsia="宋体" w:cs="Times New Roman"/>
              </w:rPr>
              <w:t>报告书审核、盖章、发放客户</w:t>
            </w:r>
            <w:r>
              <w:rPr>
                <w:rFonts w:hint="eastAsia" w:ascii="Times New Roman" w:hAnsi="Times New Roman" w:eastAsia="宋体" w:cs="Times New Roman"/>
                <w:lang w:eastAsia="zh-CN"/>
              </w:rPr>
              <w:t>—</w:t>
            </w:r>
            <w:r>
              <w:rPr>
                <w:rFonts w:hint="eastAsia" w:ascii="Times New Roman" w:hAnsi="Times New Roman" w:eastAsia="宋体" w:cs="Times New Roman"/>
              </w:rPr>
              <w:t>记录归档</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3" w:name="审核日期"/>
            <w:r>
              <w:rPr>
                <w:rFonts w:hint="eastAsia"/>
              </w:rPr>
              <w:t>2021年08月27日 上午至2021年08月27日 下午</w:t>
            </w:r>
            <w:bookmarkEnd w:id="13"/>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4" w:name="初审"/>
            <w:r>
              <w:rPr>
                <w:rFonts w:hint="eastAsia"/>
              </w:rPr>
              <w:t>■</w:t>
            </w:r>
            <w:bookmarkEnd w:id="14"/>
            <w:r>
              <w:rPr>
                <w:rFonts w:hint="eastAsia"/>
              </w:rPr>
              <w:t>初审二阶段：评价组织管理体系建立、实施运行的符合性及有效性，以确定是否推荐认证注册。</w:t>
            </w:r>
          </w:p>
          <w:p>
            <w:bookmarkStart w:id="15" w:name="监督勾选"/>
            <w:r>
              <w:rPr>
                <w:rFonts w:hint="eastAsia"/>
              </w:rPr>
              <w:t>□</w:t>
            </w:r>
            <w:bookmarkEnd w:id="15"/>
            <w:r>
              <w:rPr>
                <w:rFonts w:hint="eastAsia"/>
              </w:rPr>
              <w:t>监督审核：评价组织管理体系的持续符合性和有效性，以确定是否推荐保持认证证书。</w:t>
            </w:r>
          </w:p>
          <w:p>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bookmarkStart w:id="17" w:name="扩项勾选"/>
            <w:r>
              <w:rPr>
                <w:rFonts w:hint="eastAsia"/>
              </w:rPr>
              <w:t>□</w:t>
            </w:r>
            <w:bookmarkEnd w:id="17"/>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8" w:name="Q勾选Add1"/>
            <w:r>
              <w:rPr>
                <w:rFonts w:hint="eastAsia"/>
                <w:lang w:val="de-DE"/>
              </w:rPr>
              <w:t>■</w:t>
            </w:r>
            <w:bookmarkEnd w:id="18"/>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9" w:name="QJ勾选Add1"/>
            <w:r>
              <w:rPr>
                <w:rFonts w:hint="eastAsia"/>
                <w:lang w:val="de-DE"/>
              </w:rPr>
              <w:t>□</w:t>
            </w:r>
            <w:bookmarkEnd w:id="19"/>
            <w:r>
              <w:rPr>
                <w:rFonts w:hint="eastAsia"/>
                <w:lang w:val="de-DE"/>
              </w:rPr>
              <w:t>GB/T 50430-2017</w:t>
            </w:r>
            <w:r>
              <w:rPr>
                <w:rFonts w:hint="eastAsia"/>
              </w:rPr>
              <w:t xml:space="preserve">    </w:t>
            </w:r>
          </w:p>
          <w:p>
            <w:pPr>
              <w:rPr>
                <w:lang w:val="de-DE"/>
              </w:rPr>
            </w:pPr>
            <w:bookmarkStart w:id="20" w:name="E勾选Add1"/>
            <w:r>
              <w:rPr>
                <w:rFonts w:hint="eastAsia"/>
                <w:lang w:val="de-DE"/>
              </w:rPr>
              <w:t>□</w:t>
            </w:r>
            <w:bookmarkEnd w:id="20"/>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1" w:name="S勾选Add1"/>
            <w:r>
              <w:rPr>
                <w:rFonts w:hint="eastAsia"/>
                <w:lang w:val="de-DE"/>
              </w:rPr>
              <w:t>□</w:t>
            </w:r>
            <w:bookmarkEnd w:id="21"/>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2" w:name="二阶段勾选"/>
            <w:r>
              <w:rPr>
                <w:rFonts w:hint="eastAsia"/>
              </w:rPr>
              <w:t>■</w:t>
            </w:r>
            <w:bookmarkEnd w:id="22"/>
            <w:r>
              <w:rPr>
                <w:rFonts w:hint="eastAsia"/>
              </w:rPr>
              <w:t xml:space="preserve">初审二阶段  </w:t>
            </w:r>
            <w:bookmarkStart w:id="23" w:name="监督勾选Add1"/>
            <w:r>
              <w:rPr>
                <w:rFonts w:hint="eastAsia"/>
              </w:rPr>
              <w:t>□</w:t>
            </w:r>
            <w:bookmarkEnd w:id="23"/>
            <w:r>
              <w:rPr>
                <w:rFonts w:hint="eastAsia"/>
              </w:rPr>
              <w:t xml:space="preserve">监督 第 </w:t>
            </w:r>
            <w:bookmarkStart w:id="24" w:name="监督次数"/>
            <w:bookmarkEnd w:id="24"/>
            <w:r>
              <w:rPr>
                <w:rFonts w:hint="eastAsia"/>
              </w:rPr>
              <w:t xml:space="preserve"> 次监督审核  </w:t>
            </w:r>
            <w:bookmarkStart w:id="25" w:name="再认证勾选"/>
            <w:r>
              <w:rPr>
                <w:rFonts w:hint="eastAsia"/>
              </w:rPr>
              <w:t>□</w:t>
            </w:r>
            <w:bookmarkEnd w:id="25"/>
            <w:r>
              <w:rPr>
                <w:rFonts w:hint="eastAsia"/>
              </w:rPr>
              <w:t xml:space="preserve">再认证 </w:t>
            </w:r>
            <w:bookmarkStart w:id="26" w:name="扩项勾选Add1"/>
            <w:r>
              <w:rPr>
                <w:rFonts w:hint="eastAsia"/>
              </w:rPr>
              <w:t>□</w:t>
            </w:r>
            <w:bookmarkEnd w:id="26"/>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7" w:name="审核范围"/>
            <w:r>
              <w:rPr>
                <w:rFonts w:hint="eastAsia"/>
              </w:rPr>
              <w:t>资质范围内公共设施安全检测服务（人防设施）</w:t>
            </w:r>
            <w:bookmarkEnd w:id="27"/>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8" w:name="专业代码"/>
            <w:r>
              <w:t>34.02.00</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sym w:font="Wingdings 2" w:char="00A3"/>
            </w:r>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rPr>
              <w:t xml:space="preserve">  </w:t>
            </w:r>
            <w:r>
              <w:rPr>
                <w:rFonts w:hint="eastAsia"/>
                <w:lang w:val="en-US" w:eastAsia="zh-CN"/>
              </w:rPr>
              <w:t>2021年01月20日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rPr>
                <w:highlight w:val="yellow"/>
              </w:rPr>
            </w:pPr>
            <w:r>
              <w:rPr>
                <w:rFonts w:hint="eastAsia"/>
                <w:highlight w:val="yellow"/>
              </w:rPr>
              <w:t>场所编号</w:t>
            </w:r>
          </w:p>
          <w:p>
            <w:pPr>
              <w:rPr>
                <w:highlight w:val="yellow"/>
              </w:rPr>
            </w:pPr>
            <w:r>
              <w:rPr>
                <w:rFonts w:hint="eastAsia"/>
                <w:highlight w:val="yellow"/>
              </w:rPr>
              <w:t>(分证书序号）</w:t>
            </w:r>
          </w:p>
        </w:tc>
        <w:tc>
          <w:tcPr>
            <w:tcW w:w="2267" w:type="dxa"/>
            <w:shd w:val="clear" w:color="auto" w:fill="F3F3F3"/>
            <w:tcMar>
              <w:left w:w="57" w:type="dxa"/>
              <w:right w:w="57" w:type="dxa"/>
            </w:tcMar>
          </w:tcPr>
          <w:p>
            <w:pPr>
              <w:rPr>
                <w:highlight w:val="yellow"/>
              </w:rPr>
            </w:pPr>
            <w:r>
              <w:rPr>
                <w:rFonts w:hint="eastAsia"/>
                <w:highlight w:val="yellow"/>
              </w:rPr>
              <w:t>组织名称及注册场所地址</w:t>
            </w:r>
          </w:p>
        </w:tc>
        <w:tc>
          <w:tcPr>
            <w:tcW w:w="2267" w:type="dxa"/>
            <w:shd w:val="clear" w:color="auto" w:fill="F3F3F3"/>
          </w:tcPr>
          <w:p>
            <w:pPr>
              <w:rPr>
                <w:highlight w:val="yellow"/>
              </w:rPr>
            </w:pPr>
            <w:r>
              <w:rPr>
                <w:rFonts w:hint="eastAsia"/>
                <w:highlight w:val="yellow"/>
              </w:rPr>
              <w:t>经营场所的地址</w:t>
            </w:r>
          </w:p>
          <w:p>
            <w:pPr>
              <w:rPr>
                <w:highlight w:val="yellow"/>
              </w:rPr>
            </w:pPr>
            <w:r>
              <w:rPr>
                <w:rFonts w:hint="eastAsia"/>
                <w:highlight w:val="yellow"/>
              </w:rPr>
              <w:t>（多现场和临时现场）</w:t>
            </w:r>
          </w:p>
        </w:tc>
        <w:tc>
          <w:tcPr>
            <w:tcW w:w="571" w:type="dxa"/>
            <w:shd w:val="clear" w:color="auto" w:fill="F3F3F3"/>
            <w:tcMar>
              <w:left w:w="57" w:type="dxa"/>
              <w:right w:w="57" w:type="dxa"/>
            </w:tcMar>
          </w:tcPr>
          <w:p>
            <w:pPr>
              <w:rPr>
                <w:highlight w:val="yellow"/>
              </w:rPr>
            </w:pPr>
            <w:r>
              <w:rPr>
                <w:rFonts w:hint="eastAsia"/>
                <w:highlight w:val="yellow"/>
              </w:rPr>
              <w:t>员工人数</w:t>
            </w:r>
          </w:p>
        </w:tc>
        <w:tc>
          <w:tcPr>
            <w:tcW w:w="2803" w:type="dxa"/>
            <w:shd w:val="clear" w:color="auto" w:fill="F3F3F3"/>
            <w:tcMar>
              <w:left w:w="57" w:type="dxa"/>
              <w:right w:w="57" w:type="dxa"/>
            </w:tcMar>
          </w:tcPr>
          <w:p>
            <w:pPr>
              <w:rPr>
                <w:highlight w:val="yellow"/>
              </w:rPr>
            </w:pPr>
            <w:r>
              <w:rPr>
                <w:rFonts w:hint="eastAsia"/>
                <w:highlight w:val="yellow"/>
              </w:rPr>
              <w:t>审核范围（产品和过程）</w:t>
            </w:r>
          </w:p>
          <w:p>
            <w:pPr>
              <w:rPr>
                <w:highlight w:val="yellow"/>
              </w:rPr>
            </w:pPr>
          </w:p>
          <w:p>
            <w:pPr>
              <w:rPr>
                <w:highlight w:val="yellow"/>
              </w:rPr>
            </w:pPr>
          </w:p>
        </w:tc>
        <w:tc>
          <w:tcPr>
            <w:tcW w:w="669" w:type="dxa"/>
            <w:shd w:val="clear" w:color="auto" w:fill="F3F3F3"/>
            <w:tcMar>
              <w:left w:w="57" w:type="dxa"/>
              <w:right w:w="57" w:type="dxa"/>
            </w:tcMar>
          </w:tcPr>
          <w:p>
            <w:pPr>
              <w:rPr>
                <w:highlight w:val="yellow"/>
              </w:rPr>
            </w:pPr>
            <w:r>
              <w:rPr>
                <w:rFonts w:hint="eastAsia"/>
                <w:highlight w:val="yellow"/>
              </w:rPr>
              <w:t>标准</w:t>
            </w:r>
          </w:p>
        </w:tc>
        <w:tc>
          <w:tcPr>
            <w:tcW w:w="668" w:type="dxa"/>
            <w:tcBorders>
              <w:bottom w:val="single" w:color="auto" w:sz="4" w:space="0"/>
            </w:tcBorders>
            <w:shd w:val="clear" w:color="auto" w:fill="F3F3F3"/>
            <w:tcMar>
              <w:left w:w="57" w:type="dxa"/>
              <w:right w:w="57" w:type="dxa"/>
            </w:tcMar>
          </w:tcPr>
          <w:p>
            <w:pPr>
              <w:rPr>
                <w:highlight w:val="yellow"/>
              </w:rPr>
            </w:pPr>
            <w:r>
              <w:rPr>
                <w:rFonts w:hint="eastAsia"/>
                <w:highlight w:val="yellow"/>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highlight w:val="yellow"/>
                <w:lang w:eastAsia="ja-JP"/>
              </w:rPr>
            </w:pPr>
            <w:r>
              <w:rPr>
                <w:rFonts w:hint="eastAsia"/>
                <w:highlight w:val="yellow"/>
                <w:lang w:eastAsia="ja-JP"/>
              </w:rPr>
              <w:t>01</w:t>
            </w:r>
          </w:p>
        </w:tc>
        <w:tc>
          <w:tcPr>
            <w:tcW w:w="2267" w:type="dxa"/>
          </w:tcPr>
          <w:p>
            <w:pPr>
              <w:rPr>
                <w:highlight w:val="yellow"/>
                <w:lang w:val="de-DE" w:eastAsia="ja-JP"/>
              </w:rPr>
            </w:pPr>
          </w:p>
        </w:tc>
        <w:tc>
          <w:tcPr>
            <w:tcW w:w="2267" w:type="dxa"/>
          </w:tcPr>
          <w:p>
            <w:pPr>
              <w:rPr>
                <w:highlight w:val="yellow"/>
                <w:lang w:val="de-DE" w:eastAsia="ja-JP"/>
              </w:rPr>
            </w:pPr>
          </w:p>
        </w:tc>
        <w:tc>
          <w:tcPr>
            <w:tcW w:w="571" w:type="dxa"/>
            <w:vAlign w:val="center"/>
          </w:tcPr>
          <w:p>
            <w:pPr>
              <w:rPr>
                <w:highlight w:val="yellow"/>
                <w:lang w:eastAsia="ja-JP"/>
              </w:rPr>
            </w:pPr>
          </w:p>
        </w:tc>
        <w:tc>
          <w:tcPr>
            <w:tcW w:w="2803" w:type="dxa"/>
            <w:vAlign w:val="center"/>
          </w:tcPr>
          <w:p>
            <w:pPr>
              <w:rPr>
                <w:highlight w:val="yellow"/>
                <w:lang w:eastAsia="ja-JP"/>
              </w:rPr>
            </w:pPr>
          </w:p>
        </w:tc>
        <w:tc>
          <w:tcPr>
            <w:tcW w:w="669" w:type="dxa"/>
            <w:vAlign w:val="center"/>
          </w:tcPr>
          <w:p>
            <w:pPr>
              <w:rPr>
                <w:highlight w:val="yellow"/>
                <w:lang w:eastAsia="ja-JP"/>
              </w:rPr>
            </w:pPr>
          </w:p>
        </w:tc>
        <w:tc>
          <w:tcPr>
            <w:tcW w:w="668" w:type="dxa"/>
            <w:shd w:val="clear" w:color="auto" w:fill="FFFFFF"/>
          </w:tcPr>
          <w:p>
            <w:pPr>
              <w:rPr>
                <w:highlight w:val="yellow"/>
              </w:rPr>
            </w:pP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highlight w:val="yellow"/>
                <w:lang w:eastAsia="ja-JP"/>
              </w:rPr>
            </w:pPr>
            <w:r>
              <w:rPr>
                <w:rFonts w:hint="eastAsia"/>
                <w:highlight w:val="yellow"/>
                <w:lang w:eastAsia="ja-JP"/>
              </w:rPr>
              <w:t>02</w:t>
            </w:r>
          </w:p>
        </w:tc>
        <w:tc>
          <w:tcPr>
            <w:tcW w:w="2267" w:type="dxa"/>
            <w:vAlign w:val="center"/>
          </w:tcPr>
          <w:p>
            <w:pPr>
              <w:rPr>
                <w:highlight w:val="yellow"/>
                <w:lang w:eastAsia="ja-JP"/>
              </w:rPr>
            </w:pPr>
          </w:p>
        </w:tc>
        <w:tc>
          <w:tcPr>
            <w:tcW w:w="2267" w:type="dxa"/>
            <w:vAlign w:val="center"/>
          </w:tcPr>
          <w:p>
            <w:pPr>
              <w:rPr>
                <w:highlight w:val="yellow"/>
                <w:lang w:eastAsia="ja-JP"/>
              </w:rPr>
            </w:pPr>
          </w:p>
        </w:tc>
        <w:tc>
          <w:tcPr>
            <w:tcW w:w="571" w:type="dxa"/>
            <w:vAlign w:val="center"/>
          </w:tcPr>
          <w:p>
            <w:pPr>
              <w:rPr>
                <w:highlight w:val="yellow"/>
                <w:lang w:eastAsia="ja-JP"/>
              </w:rPr>
            </w:pPr>
          </w:p>
        </w:tc>
        <w:tc>
          <w:tcPr>
            <w:tcW w:w="2803" w:type="dxa"/>
            <w:vAlign w:val="center"/>
          </w:tcPr>
          <w:p>
            <w:pPr>
              <w:rPr>
                <w:highlight w:val="yellow"/>
                <w:lang w:eastAsia="ja-JP"/>
              </w:rPr>
            </w:pPr>
          </w:p>
        </w:tc>
        <w:tc>
          <w:tcPr>
            <w:tcW w:w="669" w:type="dxa"/>
            <w:vAlign w:val="center"/>
          </w:tcPr>
          <w:p>
            <w:pPr>
              <w:rPr>
                <w:highlight w:val="yellow"/>
                <w:lang w:eastAsia="ja-JP"/>
              </w:rPr>
            </w:pPr>
          </w:p>
        </w:tc>
        <w:tc>
          <w:tcPr>
            <w:tcW w:w="668" w:type="dxa"/>
            <w:shd w:val="clear" w:color="auto" w:fill="FFFFFF"/>
          </w:tcPr>
          <w:p>
            <w:pPr>
              <w:rPr>
                <w:highlight w:val="yellow"/>
              </w:rPr>
            </w:pP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highlight w:val="yellow"/>
                <w:lang w:eastAsia="ja-JP"/>
              </w:rPr>
            </w:pPr>
            <w:r>
              <w:rPr>
                <w:rFonts w:hint="eastAsia"/>
                <w:highlight w:val="yellow"/>
                <w:lang w:eastAsia="ja-JP"/>
              </w:rPr>
              <w:t>03</w:t>
            </w:r>
          </w:p>
        </w:tc>
        <w:tc>
          <w:tcPr>
            <w:tcW w:w="2267" w:type="dxa"/>
            <w:vAlign w:val="center"/>
          </w:tcPr>
          <w:p>
            <w:pPr>
              <w:rPr>
                <w:highlight w:val="yellow"/>
                <w:lang w:eastAsia="ja-JP"/>
              </w:rPr>
            </w:pPr>
          </w:p>
        </w:tc>
        <w:tc>
          <w:tcPr>
            <w:tcW w:w="2267" w:type="dxa"/>
            <w:vAlign w:val="center"/>
          </w:tcPr>
          <w:p>
            <w:pPr>
              <w:rPr>
                <w:highlight w:val="yellow"/>
                <w:lang w:eastAsia="ja-JP"/>
              </w:rPr>
            </w:pPr>
          </w:p>
        </w:tc>
        <w:tc>
          <w:tcPr>
            <w:tcW w:w="571" w:type="dxa"/>
            <w:vAlign w:val="center"/>
          </w:tcPr>
          <w:p>
            <w:pPr>
              <w:rPr>
                <w:highlight w:val="yellow"/>
                <w:lang w:eastAsia="ja-JP"/>
              </w:rPr>
            </w:pPr>
          </w:p>
        </w:tc>
        <w:tc>
          <w:tcPr>
            <w:tcW w:w="2803" w:type="dxa"/>
            <w:vAlign w:val="center"/>
          </w:tcPr>
          <w:p>
            <w:pPr>
              <w:rPr>
                <w:highlight w:val="yellow"/>
                <w:lang w:eastAsia="ja-JP"/>
              </w:rPr>
            </w:pPr>
          </w:p>
        </w:tc>
        <w:tc>
          <w:tcPr>
            <w:tcW w:w="669" w:type="dxa"/>
            <w:vAlign w:val="center"/>
          </w:tcPr>
          <w:p>
            <w:pPr>
              <w:rPr>
                <w:highlight w:val="yellow"/>
                <w:lang w:eastAsia="ja-JP"/>
              </w:rPr>
            </w:pPr>
          </w:p>
        </w:tc>
        <w:tc>
          <w:tcPr>
            <w:tcW w:w="668" w:type="dxa"/>
            <w:shd w:val="clear" w:color="auto" w:fill="FFFFFF"/>
          </w:tcPr>
          <w:p>
            <w:pPr>
              <w:rPr>
                <w:highlight w:val="yellow"/>
              </w:rPr>
            </w:pP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组长</w:t>
            </w:r>
          </w:p>
        </w:tc>
        <w:tc>
          <w:tcPr>
            <w:tcW w:w="711" w:type="dxa"/>
            <w:vAlign w:val="center"/>
          </w:tcPr>
          <w:p>
            <w:r>
              <w:t>男</w:t>
            </w:r>
          </w:p>
        </w:tc>
        <w:tc>
          <w:tcPr>
            <w:tcW w:w="3870" w:type="dxa"/>
            <w:vAlign w:val="center"/>
          </w:tcPr>
          <w:p>
            <w:r>
              <w:t>2019-N1QMS-1242345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杨庆</w:t>
            </w:r>
          </w:p>
        </w:tc>
        <w:tc>
          <w:tcPr>
            <w:tcW w:w="1089" w:type="dxa"/>
            <w:vAlign w:val="center"/>
          </w:tcPr>
          <w:p>
            <w:r>
              <w:t>组员</w:t>
            </w:r>
          </w:p>
        </w:tc>
        <w:tc>
          <w:tcPr>
            <w:tcW w:w="711" w:type="dxa"/>
            <w:vAlign w:val="center"/>
          </w:tcPr>
          <w:p>
            <w:r>
              <w:t>女</w:t>
            </w:r>
          </w:p>
        </w:tc>
        <w:tc>
          <w:tcPr>
            <w:tcW w:w="3870" w:type="dxa"/>
            <w:vAlign w:val="center"/>
          </w:tcPr>
          <w:p>
            <w:r>
              <w:t>2020-N1QMS-1263525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任亚辉</w:t>
            </w:r>
          </w:p>
        </w:tc>
        <w:tc>
          <w:tcPr>
            <w:tcW w:w="1089" w:type="dxa"/>
            <w:vAlign w:val="center"/>
          </w:tcPr>
          <w:p>
            <w:r>
              <w:t>组员</w:t>
            </w:r>
          </w:p>
        </w:tc>
        <w:tc>
          <w:tcPr>
            <w:tcW w:w="711" w:type="dxa"/>
            <w:vAlign w:val="center"/>
          </w:tcPr>
          <w:p>
            <w:r>
              <w:t>男</w:t>
            </w:r>
          </w:p>
        </w:tc>
        <w:tc>
          <w:tcPr>
            <w:tcW w:w="3870" w:type="dxa"/>
            <w:vAlign w:val="center"/>
          </w:tcPr>
          <w:p>
            <w:r>
              <w:t>2020-N0QMS-1265975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陈勤</w:t>
            </w:r>
          </w:p>
        </w:tc>
        <w:tc>
          <w:tcPr>
            <w:tcW w:w="1089" w:type="dxa"/>
            <w:vAlign w:val="center"/>
          </w:tcPr>
          <w:p>
            <w:r>
              <w:t>组员</w:t>
            </w:r>
          </w:p>
        </w:tc>
        <w:tc>
          <w:tcPr>
            <w:tcW w:w="711" w:type="dxa"/>
            <w:vAlign w:val="center"/>
          </w:tcPr>
          <w:p>
            <w:r>
              <w:t>男</w:t>
            </w:r>
          </w:p>
        </w:tc>
        <w:tc>
          <w:tcPr>
            <w:tcW w:w="3870" w:type="dxa"/>
            <w:vAlign w:val="center"/>
          </w:tcPr>
          <w:p>
            <w:r>
              <w:t>ISC-JSZJ-376</w:t>
            </w:r>
          </w:p>
          <w:p>
            <w:r>
              <w:t>贵州中思创人防设备检测有限公司</w:t>
            </w:r>
          </w:p>
        </w:tc>
        <w:tc>
          <w:tcPr>
            <w:tcW w:w="2179" w:type="dxa"/>
            <w:vAlign w:val="center"/>
          </w:tcPr>
          <w:p>
            <w:r>
              <w:t>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rPr>
        <w:sym w:font="Wingdings 2" w:char="0052"/>
      </w:r>
      <w:r>
        <w:rPr>
          <w:rFonts w:hint="eastAsia"/>
        </w:rPr>
        <w:t>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rPr>
              <w:sym w:font="Wingdings 2" w:char="0052"/>
            </w:r>
            <w:r>
              <w:rPr>
                <w:rFonts w:hint="eastAsia"/>
              </w:rPr>
              <w:t>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9" w:name="Q勾选Add2"/>
            <w:r>
              <w:rPr>
                <w:rFonts w:hint="eastAsia"/>
              </w:rPr>
              <w:t>■</w:t>
            </w:r>
            <w:bookmarkEnd w:id="29"/>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E勾选Add2"/>
            <w:r>
              <w:rPr>
                <w:rFonts w:hint="eastAsia"/>
              </w:rPr>
              <w:t>□</w:t>
            </w:r>
            <w:bookmarkEnd w:id="3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S勾选Add2"/>
            <w:r>
              <w:rPr>
                <w:rFonts w:hint="eastAsia"/>
              </w:rPr>
              <w:t>□</w:t>
            </w:r>
            <w:bookmarkEnd w:id="3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ascii="宋体" w:hAnsi="宋体" w:cs="宋体"/>
                <w:color w:val="000000"/>
                <w:kern w:val="0"/>
                <w:szCs w:val="21"/>
              </w:rPr>
              <w:t>资质范围内公共设施安全检测服务（人防设施）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color w:val="auto"/>
              </w:rPr>
            </w:pPr>
            <w:r>
              <w:rPr>
                <w:rFonts w:hint="eastAsia" w:ascii="宋体" w:hAnsi="宋体"/>
                <w:b/>
                <w:color w:val="auto"/>
                <w:szCs w:val="21"/>
              </w:rPr>
              <w:drawing>
                <wp:anchor distT="0" distB="0" distL="114300" distR="114300" simplePos="0" relativeHeight="251659264" behindDoc="0" locked="0" layoutInCell="1" allowOverlap="1">
                  <wp:simplePos x="0" y="0"/>
                  <wp:positionH relativeFrom="column">
                    <wp:posOffset>402590</wp:posOffset>
                  </wp:positionH>
                  <wp:positionV relativeFrom="paragraph">
                    <wp:posOffset>24765</wp:posOffset>
                  </wp:positionV>
                  <wp:extent cx="410210" cy="290195"/>
                  <wp:effectExtent l="0" t="0" r="8890" b="14605"/>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6"/>
                          <a:stretch>
                            <a:fillRect/>
                          </a:stretch>
                        </pic:blipFill>
                        <pic:spPr>
                          <a:xfrm>
                            <a:off x="0" y="0"/>
                            <a:ext cx="410210" cy="290195"/>
                          </a:xfrm>
                          <a:prstGeom prst="rect">
                            <a:avLst/>
                          </a:prstGeom>
                        </pic:spPr>
                      </pic:pic>
                    </a:graphicData>
                  </a:graphic>
                </wp:anchor>
              </w:drawing>
            </w:r>
          </w:p>
          <w:p>
            <w:pPr>
              <w:rPr>
                <w:color w:val="auto"/>
              </w:rPr>
            </w:pPr>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hint="default" w:ascii="宋体" w:eastAsia="宋体"/>
                <w:b/>
                <w:color w:val="auto"/>
                <w:szCs w:val="21"/>
                <w:lang w:val="en-US" w:eastAsia="zh-CN"/>
              </w:rPr>
            </w:pPr>
            <w:r>
              <w:rPr>
                <w:rFonts w:hint="eastAsia" w:ascii="宋体"/>
                <w:b/>
                <w:color w:val="auto"/>
                <w:szCs w:val="21"/>
                <w:lang w:val="en-US" w:eastAsia="zh-CN"/>
              </w:rPr>
              <w:t>2021年08月27日</w:t>
            </w:r>
          </w:p>
        </w:tc>
      </w:tr>
    </w:tbl>
    <w:p>
      <w:bookmarkStart w:id="32" w:name="_GoBack"/>
      <w:bookmarkEnd w:id="32"/>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40" w:after="40"/>
        <w:rPr>
          <w:rFonts w:eastAsia="微软雅黑"/>
        </w:rPr>
      </w:pPr>
    </w:p>
    <w:p>
      <w:pPr>
        <w:pStyle w:val="2"/>
        <w:rPr>
          <w:rFonts w:eastAsia="微软雅黑"/>
        </w:rPr>
      </w:pPr>
    </w:p>
    <w:p>
      <w:pPr>
        <w:pStyle w:val="2"/>
        <w:rPr>
          <w:rFonts w:eastAsia="微软雅黑"/>
        </w:rPr>
      </w:pPr>
    </w:p>
    <w:p>
      <w:pPr>
        <w:pStyle w:val="2"/>
        <w:rPr>
          <w:rFonts w:eastAsia="微软雅黑"/>
        </w:rPr>
      </w:pPr>
    </w:p>
    <w:p>
      <w:pPr>
        <w:pStyle w:val="2"/>
        <w:rPr>
          <w:rFonts w:eastAsia="微软雅黑"/>
        </w:rPr>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A3"/>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A3"/>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 xml:space="preserve">生产/服务过程 </w:t>
            </w:r>
            <w:r>
              <w:rPr>
                <w:rFonts w:hint="eastAsia"/>
              </w:rPr>
              <w:sym w:font="Wingdings 2" w:char="0052"/>
            </w:r>
            <w:r>
              <w:rPr>
                <w:rFonts w:hint="eastAsia"/>
              </w:rPr>
              <w:t xml:space="preserve">检验检测 □产品运输 </w:t>
            </w:r>
            <w:r>
              <w:rPr>
                <w:rFonts w:hint="eastAsia"/>
              </w:rPr>
              <w:sym w:font="Wingdings 2" w:char="0052"/>
            </w:r>
            <w:r>
              <w:rPr>
                <w:rFonts w:hint="eastAsia"/>
              </w:rPr>
              <w:t>设备维修</w:t>
            </w:r>
          </w:p>
          <w:p>
            <w:pPr>
              <w:shd w:val="clear" w:color="auto" w:fill="C7DAF1" w:themeFill="text2" w:themeFillTint="32"/>
              <w:spacing w:before="40" w:after="40"/>
            </w:pPr>
            <w:r>
              <w:rPr>
                <w:rFonts w:hint="eastAsia"/>
              </w:rPr>
              <w:sym w:font="Wingdings 2" w:char="0052"/>
            </w: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pStyle w:val="7"/>
              <w:spacing w:before="0" w:beforeAutospacing="0" w:after="0" w:afterAutospacing="0" w:line="500" w:lineRule="exact"/>
              <w:rPr>
                <w:rFonts w:hint="default" w:ascii="Times New Roman" w:hAnsi="Times New Roman" w:eastAsia="宋体" w:cs="Times New Roman"/>
                <w:kern w:val="2"/>
                <w:sz w:val="21"/>
                <w:szCs w:val="24"/>
                <w:u w:val="single"/>
                <w:lang w:val="en-US" w:eastAsia="zh-CN" w:bidi="ar-SA"/>
              </w:rPr>
            </w:pPr>
            <w:r>
              <w:rPr>
                <w:rFonts w:hint="eastAsia" w:ascii="Times New Roman" w:hAnsi="Times New Roman" w:eastAsia="宋体" w:cs="Times New Roman"/>
                <w:kern w:val="2"/>
                <w:sz w:val="21"/>
                <w:szCs w:val="24"/>
                <w:lang w:val="en-US" w:eastAsia="zh-CN" w:bidi="ar-SA"/>
              </w:rPr>
              <w:t>最高管理者制定了文件化的管理体系方针：</w:t>
            </w:r>
            <w:r>
              <w:rPr>
                <w:rFonts w:hint="eastAsia"/>
                <w:u w:val="single"/>
              </w:rPr>
              <w:t xml:space="preserve"> </w:t>
            </w:r>
            <w:r>
              <w:rPr>
                <w:rFonts w:hint="eastAsia" w:ascii="Times New Roman" w:hAnsi="Times New Roman" w:eastAsia="宋体" w:cs="Times New Roman"/>
                <w:kern w:val="2"/>
                <w:sz w:val="21"/>
                <w:szCs w:val="24"/>
                <w:u w:val="single"/>
                <w:lang w:val="en-US" w:eastAsia="zh-CN" w:bidi="ar-SA"/>
              </w:rPr>
              <w:t xml:space="preserve">  质量为本，信誉第一，服务至上，持续改进 ；</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eastAsia="宋体"/>
                <w:spacing w:val="20"/>
                <w:sz w:val="18"/>
                <w:szCs w:val="18"/>
                <w:lang w:val="en-US" w:eastAsia="zh-CN"/>
              </w:rPr>
              <w:t>质控部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市场竞争大，服务质量不满足要求的话容易失去竞标机会</w:t>
                  </w:r>
                </w:p>
              </w:tc>
              <w:tc>
                <w:tcPr>
                  <w:tcW w:w="3965"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提升公司服务意识和管理，通过网络学习先进的派遣知识</w:t>
                  </w:r>
                </w:p>
              </w:tc>
              <w:tc>
                <w:tcPr>
                  <w:tcW w:w="1717"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1、由工程部人员每个月对收集信息进行评价并整理</w:t>
                  </w:r>
                </w:p>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2、组织评价信息有效性</w:t>
                  </w:r>
                </w:p>
                <w:p>
                  <w:pPr>
                    <w:shd w:val="clear" w:color="auto" w:fill="C7DAF1" w:themeFill="text2" w:themeFillTint="32"/>
                    <w:rPr>
                      <w:rFonts w:hint="eastAsia" w:ascii="Times New Roman" w:hAnsi="Times New Roman" w:eastAsia="宋体" w:cs="Times New Roman"/>
                      <w:b w:val="0"/>
                      <w:bCs w:val="0"/>
                      <w:lang w:val="en-US" w:eastAsia="zh-CN"/>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val="en-US" w:eastAsia="zh-CN"/>
                    </w:rPr>
                    <w:t>承诺的检测时限完成率大于95%</w:t>
                  </w:r>
                </w:p>
              </w:tc>
              <w:tc>
                <w:tcPr>
                  <w:tcW w:w="3136"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GB" w:eastAsia="zh-CN" w:bidi="ar-SA"/>
                    </w:rPr>
                  </w:pPr>
                  <w:r>
                    <w:rPr>
                      <w:rFonts w:hint="eastAsia" w:ascii="Times New Roman" w:hAnsi="Times New Roman" w:eastAsia="宋体" w:cs="Times New Roman"/>
                      <w:color w:val="000000"/>
                      <w:szCs w:val="18"/>
                      <w:lang w:val="en-US" w:eastAsia="zh-CN"/>
                    </w:rPr>
                    <w:t>承诺时间内完成检测数/承诺时间内完成检测总数×100%</w:t>
                  </w:r>
                </w:p>
              </w:tc>
              <w:tc>
                <w:tcPr>
                  <w:tcW w:w="1350" w:type="dxa"/>
                  <w:shd w:val="clear" w:color="auto" w:fill="auto"/>
                  <w:vAlign w:val="center"/>
                </w:tcPr>
                <w:p>
                  <w:pPr>
                    <w:widowControl/>
                    <w:spacing w:before="40"/>
                    <w:jc w:val="left"/>
                    <w:rPr>
                      <w:rFonts w:hint="default"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检测部</w:t>
                  </w:r>
                </w:p>
              </w:tc>
              <w:tc>
                <w:tcPr>
                  <w:tcW w:w="1774" w:type="dxa"/>
                  <w:shd w:val="clear" w:color="auto" w:fill="auto"/>
                  <w:vAlign w:val="top"/>
                </w:tcPr>
                <w:p>
                  <w:pPr>
                    <w:widowControl/>
                    <w:spacing w:before="40"/>
                    <w:jc w:val="left"/>
                    <w:rPr>
                      <w:rFonts w:hint="default" w:ascii="宋体" w:hAnsi="宋体" w:eastAsia="宋体" w:cs="宋体"/>
                      <w:kern w:val="2"/>
                      <w:sz w:val="21"/>
                      <w:szCs w:val="21"/>
                      <w:lang w:val="en-GB" w:eastAsia="zh-CN" w:bidi="ar-SA"/>
                    </w:rPr>
                  </w:pPr>
                  <w:r>
                    <w:rPr>
                      <w:rFonts w:hint="eastAsia" w:ascii="Times New Roman" w:hAnsi="Times New Roman" w:eastAsia="宋体" w:cs="Times New Roman"/>
                      <w:color w:val="000000"/>
                      <w:szCs w:val="18"/>
                      <w:lang w:val="en-US" w:eastAsia="zh-CN"/>
                    </w:rPr>
                    <w:t>96</w:t>
                  </w:r>
                  <w:r>
                    <w:rPr>
                      <w:rFonts w:hint="eastAsia" w:ascii="Times New Roman" w:hAnsi="Times New Roman" w:eastAsia="宋体" w:cs="Times New Roman"/>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val="en-US" w:eastAsia="zh-CN"/>
                    </w:rPr>
                    <w:t>检测事故率低于0.1%</w:t>
                  </w:r>
                </w:p>
              </w:tc>
              <w:tc>
                <w:tcPr>
                  <w:tcW w:w="3136"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val="en-US" w:eastAsia="zh-CN"/>
                    </w:rPr>
                    <w:t>实际发生数与上年相比</w:t>
                  </w:r>
                </w:p>
              </w:tc>
              <w:tc>
                <w:tcPr>
                  <w:tcW w:w="1350" w:type="dxa"/>
                  <w:shd w:val="clear" w:color="auto" w:fill="auto"/>
                  <w:vAlign w:val="center"/>
                </w:tcPr>
                <w:p>
                  <w:pPr>
                    <w:widowControl/>
                    <w:spacing w:before="40"/>
                    <w:jc w:val="left"/>
                    <w:rPr>
                      <w:rFonts w:hint="default"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质控部</w:t>
                  </w:r>
                </w:p>
              </w:tc>
              <w:tc>
                <w:tcPr>
                  <w:tcW w:w="1774" w:type="dxa"/>
                  <w:shd w:val="clear" w:color="auto" w:fill="auto"/>
                  <w:vAlign w:val="top"/>
                </w:tcPr>
                <w:p>
                  <w:pPr>
                    <w:widowControl/>
                    <w:spacing w:before="40"/>
                    <w:jc w:val="left"/>
                    <w:rPr>
                      <w:rFonts w:hint="default" w:ascii="宋体" w:hAnsi="宋体" w:eastAsia="宋体" w:cs="宋体"/>
                      <w:kern w:val="2"/>
                      <w:sz w:val="21"/>
                      <w:szCs w:val="21"/>
                      <w:lang w:val="en-US" w:eastAsia="zh-CN" w:bidi="ar-SA"/>
                    </w:rPr>
                  </w:pPr>
                  <w:r>
                    <w:rPr>
                      <w:rFonts w:hint="eastAsia" w:ascii="Times New Roman" w:hAnsi="Times New Roman" w:eastAsia="宋体" w:cs="Times New Roman"/>
                      <w:color w:val="000000"/>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val="en-US" w:eastAsia="zh-CN"/>
                    </w:rPr>
                    <w:t>顾客满意度≥96%</w:t>
                  </w:r>
                </w:p>
              </w:tc>
              <w:tc>
                <w:tcPr>
                  <w:tcW w:w="3136"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val="en-US" w:eastAsia="zh-CN"/>
                    </w:rPr>
                    <w:t>顾客满意数/顾客总数×100%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市场开发部</w:t>
                  </w:r>
                </w:p>
              </w:tc>
              <w:tc>
                <w:tcPr>
                  <w:tcW w:w="1774" w:type="dxa"/>
                  <w:shd w:val="clear" w:color="auto" w:fill="auto"/>
                  <w:vAlign w:val="top"/>
                </w:tcPr>
                <w:p>
                  <w:pPr>
                    <w:widowControl/>
                    <w:spacing w:before="40"/>
                    <w:jc w:val="left"/>
                    <w:rPr>
                      <w:rFonts w:hint="default" w:ascii="宋体" w:hAnsi="宋体" w:eastAsia="宋体" w:cs="宋体"/>
                      <w:kern w:val="2"/>
                      <w:sz w:val="21"/>
                      <w:szCs w:val="21"/>
                      <w:lang w:val="en-US" w:eastAsia="zh-CN" w:bidi="ar-SA"/>
                    </w:rPr>
                  </w:pPr>
                  <w:r>
                    <w:rPr>
                      <w:rFonts w:hint="eastAsia" w:ascii="Times New Roman" w:hAnsi="Times New Roman" w:eastAsia="宋体" w:cs="Times New Roman"/>
                      <w:color w:val="000000"/>
                      <w:szCs w:val="18"/>
                      <w:lang w:val="en-US" w:eastAsia="zh-CN"/>
                    </w:rPr>
                    <w:t>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组织应</w:t>
            </w:r>
            <w:r>
              <w:rPr>
                <w:rFonts w:hint="eastAsia"/>
                <w:highlight w:val="none"/>
              </w:rPr>
              <w:t>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300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rFonts w:hint="default"/>
                <w:highlight w:val="yellow"/>
                <w:u w:val="single"/>
                <w:lang w:val="en-US"/>
              </w:rPr>
            </w:pPr>
            <w:r>
              <w:rPr>
                <w:rFonts w:hint="eastAsia"/>
                <w:highlight w:val="none"/>
              </w:rPr>
              <w:t>主要生产设备有：</w:t>
            </w:r>
            <w:r>
              <w:rPr>
                <w:rFonts w:hint="eastAsia"/>
                <w:highlight w:val="none"/>
                <w:u w:val="single"/>
              </w:rPr>
              <w:t xml:space="preserve"> </w:t>
            </w:r>
            <w:r>
              <w:rPr>
                <w:rFonts w:hint="eastAsia" w:ascii="宋体" w:hAnsi="宋体" w:eastAsia="宋体" w:cs="Times New Roman"/>
                <w:szCs w:val="21"/>
                <w:highlight w:val="none"/>
                <w:u w:val="single"/>
                <w:lang w:val="en-US" w:eastAsia="zh-CN"/>
              </w:rPr>
              <w:t>电脑、打印机等办公用品</w:t>
            </w:r>
          </w:p>
          <w:p>
            <w:pPr>
              <w:shd w:val="clear" w:color="auto" w:fill="C7DAF1" w:themeFill="text2" w:themeFillTint="32"/>
            </w:pPr>
            <w:r>
              <w:rPr>
                <w:rFonts w:hint="eastAsia"/>
              </w:rPr>
              <w:t>特种设备：</w:t>
            </w:r>
            <w:r>
              <w:rPr>
                <w:rFonts w:hint="eastAsia"/>
              </w:rPr>
              <w:sym w:font="Wingdings 2" w:char="00A3"/>
            </w:r>
            <w:r>
              <w:rPr>
                <w:rFonts w:hint="eastAsia"/>
              </w:rPr>
              <w:t xml:space="preserve">叉车 </w:t>
            </w:r>
            <w:r>
              <w:rPr>
                <w:rFonts w:hint="eastAsia"/>
              </w:rPr>
              <w:sym w:font="Wingdings 2" w:char="00A3"/>
            </w:r>
            <w:r>
              <w:rPr>
                <w:rFonts w:hint="eastAsia"/>
              </w:rPr>
              <w:t xml:space="preserve">行车 </w:t>
            </w:r>
            <w:r>
              <w:rPr>
                <w:rFonts w:hint="eastAsia"/>
              </w:rPr>
              <w:sym w:font="Wingdings 2" w:char="00A3"/>
            </w:r>
            <w:r>
              <w:rPr>
                <w:rFonts w:hint="eastAsia"/>
              </w:rPr>
              <w:t xml:space="preserve">锅炉 </w:t>
            </w:r>
            <w:r>
              <w:rPr>
                <w:rFonts w:hint="eastAsia"/>
              </w:rPr>
              <w:sym w:font="Wingdings 2" w:char="00A3"/>
            </w:r>
            <w:r>
              <w:rPr>
                <w:rFonts w:hint="eastAsia"/>
              </w:rPr>
              <w:t xml:space="preserve">电梯  </w:t>
            </w:r>
            <w:r>
              <w:rPr>
                <w:rFonts w:hint="eastAsia"/>
              </w:rPr>
              <w:sym w:font="Wingdings 2" w:char="00A3"/>
            </w:r>
            <w:r>
              <w:rPr>
                <w:rFonts w:hint="eastAsia"/>
              </w:rPr>
              <w:t xml:space="preserve">压力容器  </w:t>
            </w:r>
            <w:r>
              <w:rPr>
                <w:rFonts w:hint="eastAsia"/>
              </w:rPr>
              <w:sym w:font="Wingdings 2" w:char="00A3"/>
            </w:r>
            <w:r>
              <w:rPr>
                <w:rFonts w:hint="eastAsia"/>
              </w:rPr>
              <w:t xml:space="preserve">压力管道  </w:t>
            </w:r>
            <w:r>
              <w:rPr>
                <w:rFonts w:hint="eastAsia"/>
              </w:rPr>
              <w:sym w:font="Wingdings 2" w:char="0052"/>
            </w:r>
            <w:r>
              <w:rPr>
                <w:rFonts w:hint="eastAsia"/>
              </w:rPr>
              <w:t xml:space="preserve">不适用  </w:t>
            </w:r>
          </w:p>
          <w:p>
            <w:pPr>
              <w:shd w:val="clear" w:color="auto" w:fill="C7DAF1" w:themeFill="text2" w:themeFillTint="32"/>
              <w:rPr>
                <w:u w:val="single"/>
              </w:rPr>
            </w:pPr>
            <w:r>
              <w:rPr>
                <w:rFonts w:hint="eastAsia"/>
              </w:rPr>
              <w:t>特种设备管理：</w:t>
            </w:r>
            <w:r>
              <w:rPr>
                <w:rFonts w:hint="eastAsia"/>
              </w:rPr>
              <w:sym w:font="Wingdings 2" w:char="00A3"/>
            </w:r>
            <w:r>
              <w:rPr>
                <w:rFonts w:hint="eastAsia"/>
              </w:rPr>
              <w:t xml:space="preserve">进行了定期检验  </w:t>
            </w:r>
            <w:r>
              <w:rPr>
                <w:rFonts w:hint="eastAsia"/>
              </w:rPr>
              <w:sym w:font="Wingdings 2" w:char="00A3"/>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   □服务流程检查表  □其他</w:t>
            </w:r>
          </w:p>
          <w:p>
            <w:pPr>
              <w:shd w:val="clear" w:color="auto" w:fill="C7DAF1" w:themeFill="text2" w:themeFillTint="32"/>
            </w:pPr>
            <w:r>
              <w:rPr>
                <w:rFonts w:hint="eastAsia"/>
              </w:rPr>
              <w:t>计量器具的</w:t>
            </w:r>
            <w:r>
              <w:t>测量溯源</w:t>
            </w:r>
            <w:r>
              <w:rPr>
                <w:rFonts w:hint="eastAsia"/>
              </w:rPr>
              <w:t xml:space="preserve">方法：  □自校   </w:t>
            </w:r>
            <w:r>
              <w:rPr>
                <w:rFonts w:hint="eastAsia"/>
              </w:rPr>
              <w:sym w:font="Wingdings 2" w:char="0052"/>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color w:val="000000"/>
                <w:u w:val="single"/>
                <w:lang w:val="en-US" w:eastAsia="zh-CN"/>
              </w:rPr>
              <w:t>数显卡尺、钢直尺、同轴度检测仪、粗糙度检测仪、里氏硬度计、量块、指针式推拉力计等132项</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 xml:space="preserve">加工工艺 </w:t>
            </w:r>
            <w:r>
              <w:rPr>
                <w:rFonts w:hint="eastAsia" w:ascii="Wingdings" w:hAnsi="Wingdings"/>
                <w:lang w:eastAsia="zh-CN"/>
              </w:rPr>
              <w:sym w:font="Wingdings 2" w:char="00A3"/>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sym w:font="Wingdings 2" w:char="0052"/>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 xml:space="preserve">顾客提供资料 </w:t>
            </w:r>
            <w:r>
              <w:rPr>
                <w:rFonts w:hint="eastAsia" w:ascii="Wingdings" w:hAnsi="Wingdings"/>
                <w:lang w:eastAsia="zh-CN"/>
              </w:rPr>
              <w:sym w:font="Wingdings 2" w:char="0052"/>
            </w:r>
            <w:r>
              <w:rPr>
                <w:rFonts w:hint="eastAsia"/>
              </w:rPr>
              <w:t xml:space="preserve">产品标准  </w:t>
            </w:r>
            <w:r>
              <w:rPr>
                <w:rFonts w:hint="eastAsia" w:ascii="Wingdings" w:hAnsi="Wingdings"/>
                <w:lang w:eastAsia="zh-CN"/>
              </w:rPr>
              <w:sym w:font="Wingdings 2" w:char="00A3"/>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A3"/>
            </w:r>
            <w:r>
              <w:rPr>
                <w:rFonts w:hint="eastAsia"/>
              </w:rPr>
              <w:t xml:space="preserve">电工 </w:t>
            </w:r>
            <w:r>
              <w:rPr>
                <w:rFonts w:hint="eastAsia" w:ascii="Wingdings" w:hAnsi="Wingdings"/>
                <w:lang w:eastAsia="zh-CN"/>
              </w:rPr>
              <w:sym w:font="Wingdings 2" w:char="00A3"/>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A3"/>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sym w:font="Wingdings 2" w:char="0052"/>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A3"/>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2687"/>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r>
                    <w:rPr>
                      <w:rFonts w:hint="eastAsia"/>
                    </w:rPr>
                    <w:t>产品/服务名称</w:t>
                  </w:r>
                </w:p>
              </w:tc>
              <w:tc>
                <w:tcPr>
                  <w:tcW w:w="2687"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rPr>
                      <w:rFonts w:hint="eastAsia" w:ascii="Times New Roman" w:hAnsi="Times New Roman" w:eastAsia="宋体" w:cs="Times New Roman"/>
                      <w:lang w:val="en-US" w:eastAsia="zh-CN"/>
                    </w:rPr>
                  </w:pPr>
                  <w:r>
                    <w:rPr>
                      <w:rFonts w:ascii="宋体" w:hAnsi="宋体" w:cs="宋体"/>
                      <w:color w:val="000000"/>
                      <w:kern w:val="0"/>
                      <w:szCs w:val="21"/>
                    </w:rPr>
                    <w:t>资质范围内公共设施安全检测服务（人防设施）</w:t>
                  </w:r>
                </w:p>
              </w:tc>
              <w:tc>
                <w:tcPr>
                  <w:tcW w:w="2687"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检测服务过程</w:t>
                  </w: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检测服务过程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sym w:font="Wingdings 2" w:char="0052"/>
            </w:r>
            <w:r>
              <w:rPr>
                <w:rFonts w:hint="eastAsia"/>
              </w:rPr>
              <w:t xml:space="preserve">进行了有效的确认  </w:t>
            </w:r>
            <w:r>
              <w:rPr>
                <w:rFonts w:hint="eastAsia" w:ascii="Wingdings" w:hAnsi="Wingdings"/>
                <w:lang w:eastAsia="zh-CN"/>
              </w:rPr>
              <w:sym w:font="Wingdings 2" w:char="00A3"/>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 xml:space="preserve">标签 </w:t>
            </w:r>
            <w:r>
              <w:rPr>
                <w:rFonts w:hint="eastAsia" w:ascii="Wingdings" w:hAnsi="Wingdings"/>
                <w:lang w:eastAsia="zh-CN"/>
              </w:rPr>
              <w:sym w:font="Wingdings 2" w:char="0052"/>
            </w:r>
            <w:r>
              <w:rPr>
                <w:rFonts w:hint="eastAsia"/>
              </w:rPr>
              <w:t xml:space="preserve">标牌 </w:t>
            </w:r>
            <w:r>
              <w:rPr>
                <w:rFonts w:hint="eastAsia" w:ascii="Wingdings" w:hAnsi="Wingdings"/>
                <w:lang w:eastAsia="zh-CN"/>
              </w:rPr>
              <w:sym w:font="Wingdings 2" w:char="0052"/>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sym w:font="Wingdings 2" w:char="0052"/>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sym w:font="Wingdings 2" w:char="0052"/>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A3"/>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sym w:font="Wingdings 2" w:char="0052"/>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sym w:font="Wingdings 2" w:char="00A3"/>
            </w:r>
            <w:r>
              <w:rPr>
                <w:rFonts w:hint="eastAsia"/>
              </w:rPr>
              <w:t xml:space="preserve">重要原材料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A3"/>
            </w:r>
            <w:r>
              <w:rPr>
                <w:rFonts w:hint="eastAsia"/>
              </w:rPr>
              <w:t xml:space="preserve">图纸 </w:t>
            </w:r>
            <w:r>
              <w:rPr>
                <w:rFonts w:hint="eastAsia" w:ascii="Wingdings" w:hAnsi="Wingdings"/>
                <w:lang w:eastAsia="zh-CN"/>
              </w:rPr>
              <w:sym w:font="Wingdings 2" w:char="00A3"/>
            </w:r>
            <w:r>
              <w:rPr>
                <w:rFonts w:hint="eastAsia"/>
              </w:rPr>
              <w:t xml:space="preserve">工艺 </w:t>
            </w:r>
            <w:r>
              <w:rPr>
                <w:rFonts w:hint="eastAsia" w:ascii="Wingdings" w:hAnsi="Wingdings"/>
                <w:lang w:eastAsia="zh-CN"/>
              </w:rPr>
              <w:sym w:font="Wingdings 2" w:char="00A3"/>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sym w:font="Wingdings 2" w:char="00A3"/>
            </w:r>
            <w:r>
              <w:rPr>
                <w:rFonts w:hint="eastAsia"/>
              </w:rPr>
              <w:t xml:space="preserve">进货检验 </w:t>
            </w:r>
            <w:r>
              <w:rPr>
                <w:rFonts w:hint="eastAsia" w:ascii="Wingdings" w:hAnsi="Wingdings"/>
                <w:lang w:eastAsia="zh-CN"/>
              </w:rPr>
              <w:sym w:font="Wingdings 2" w:char="00A3"/>
            </w:r>
            <w:r>
              <w:rPr>
                <w:rFonts w:hint="eastAsia"/>
              </w:rPr>
              <w:t xml:space="preserve">首件检验 </w:t>
            </w:r>
            <w:r>
              <w:rPr>
                <w:rFonts w:hint="eastAsia" w:ascii="Wingdings" w:hAnsi="Wingdings"/>
                <w:lang w:eastAsia="zh-CN"/>
              </w:rPr>
              <w:sym w:font="Wingdings 2" w:char="0052"/>
            </w:r>
            <w:r>
              <w:rPr>
                <w:rFonts w:hint="eastAsia"/>
              </w:rPr>
              <w:t xml:space="preserve">过程检验 </w:t>
            </w:r>
            <w:r>
              <w:rPr>
                <w:rFonts w:hint="eastAsia" w:ascii="Wingdings" w:hAnsi="Wingdings"/>
                <w:lang w:eastAsia="zh-CN"/>
              </w:rPr>
              <w:sym w:font="Wingdings 2" w:char="00A3"/>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 xml:space="preserve">顾客调查 </w:t>
            </w:r>
            <w:r>
              <w:rPr>
                <w:rFonts w:hint="eastAsia" w:ascii="Wingdings" w:hAnsi="Wingdings"/>
                <w:lang w:eastAsia="zh-CN"/>
              </w:rPr>
              <w:sym w:font="Wingdings 2" w:char="0052"/>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sym w:font="Wingdings 2" w:char="0052"/>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17 </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 xml:space="preserve">不合格产品/服务 </w:t>
            </w:r>
            <w:r>
              <w:rPr>
                <w:rFonts w:hint="eastAsia" w:ascii="Wingdings" w:hAnsi="Wingdings"/>
                <w:lang w:eastAsia="zh-CN"/>
              </w:rPr>
              <w:sym w:font="Wingdings 2" w:char="0052"/>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sym w:font="Wingdings 2" w:char="0052"/>
            </w:r>
            <w:r>
              <w:rPr>
                <w:rFonts w:hint="eastAsia"/>
              </w:rPr>
              <w:t xml:space="preserve">顾客满意调查 </w:t>
            </w:r>
          </w:p>
          <w:p>
            <w:pPr>
              <w:shd w:val="clear" w:color="auto" w:fill="C7DAF1" w:themeFill="text2"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6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611"/>
        <w:gridCol w:w="612"/>
        <w:gridCol w:w="612"/>
        <w:gridCol w:w="611"/>
        <w:gridCol w:w="612"/>
        <w:gridCol w:w="612"/>
        <w:gridCol w:w="611"/>
        <w:gridCol w:w="612"/>
        <w:gridCol w:w="612"/>
        <w:gridCol w:w="611"/>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4.1</w:t>
            </w:r>
          </w:p>
        </w:tc>
        <w:tc>
          <w:tcPr>
            <w:tcW w:w="612" w:type="dxa"/>
            <w:vAlign w:val="center"/>
          </w:tcPr>
          <w:p>
            <w:pPr>
              <w:shd w:val="clear" w:color="auto" w:fill="C7DAF1" w:themeFill="text2" w:themeFillTint="32"/>
              <w:rPr>
                <w:lang w:eastAsia="ja-JP"/>
              </w:rPr>
            </w:pPr>
            <w:r>
              <w:rPr>
                <w:rFonts w:hint="eastAsia"/>
              </w:rPr>
              <w:t>4.2</w:t>
            </w:r>
          </w:p>
        </w:tc>
        <w:tc>
          <w:tcPr>
            <w:tcW w:w="612" w:type="dxa"/>
            <w:vAlign w:val="center"/>
          </w:tcPr>
          <w:p>
            <w:pPr>
              <w:shd w:val="clear" w:color="auto" w:fill="C7DAF1" w:themeFill="text2" w:themeFillTint="32"/>
              <w:rPr>
                <w:lang w:eastAsia="ja-JP"/>
              </w:rPr>
            </w:pPr>
            <w:r>
              <w:rPr>
                <w:rFonts w:hint="eastAsia"/>
              </w:rPr>
              <w:t>4.3</w:t>
            </w:r>
          </w:p>
        </w:tc>
        <w:tc>
          <w:tcPr>
            <w:tcW w:w="611" w:type="dxa"/>
            <w:vAlign w:val="center"/>
          </w:tcPr>
          <w:p>
            <w:pPr>
              <w:shd w:val="clear" w:color="auto" w:fill="C7DAF1" w:themeFill="text2" w:themeFillTint="32"/>
              <w:rPr>
                <w:lang w:eastAsia="ja-JP"/>
              </w:rPr>
            </w:pPr>
            <w:r>
              <w:rPr>
                <w:rFonts w:hint="eastAsia"/>
              </w:rPr>
              <w:t>4.4</w:t>
            </w:r>
          </w:p>
        </w:tc>
        <w:tc>
          <w:tcPr>
            <w:tcW w:w="612" w:type="dxa"/>
            <w:vAlign w:val="center"/>
          </w:tcPr>
          <w:p>
            <w:pPr>
              <w:shd w:val="clear" w:color="auto" w:fill="C7DAF1" w:themeFill="text2" w:themeFillTint="32"/>
              <w:rPr>
                <w:lang w:eastAsia="ja-JP"/>
              </w:rPr>
            </w:pPr>
            <w:r>
              <w:rPr>
                <w:rFonts w:hint="eastAsia"/>
              </w:rPr>
              <w:t>5.1</w:t>
            </w:r>
          </w:p>
        </w:tc>
        <w:tc>
          <w:tcPr>
            <w:tcW w:w="612" w:type="dxa"/>
            <w:vAlign w:val="center"/>
          </w:tcPr>
          <w:p>
            <w:pPr>
              <w:shd w:val="clear" w:color="auto" w:fill="C7DAF1" w:themeFill="text2" w:themeFillTint="32"/>
              <w:rPr>
                <w:lang w:eastAsia="ja-JP"/>
              </w:rPr>
            </w:pPr>
            <w:r>
              <w:rPr>
                <w:rFonts w:hint="eastAsia"/>
              </w:rPr>
              <w:t>5.2</w:t>
            </w:r>
          </w:p>
        </w:tc>
        <w:tc>
          <w:tcPr>
            <w:tcW w:w="611" w:type="dxa"/>
            <w:vAlign w:val="center"/>
          </w:tcPr>
          <w:p>
            <w:pPr>
              <w:shd w:val="clear" w:color="auto" w:fill="C7DAF1" w:themeFill="text2" w:themeFillTint="32"/>
              <w:rPr>
                <w:lang w:eastAsia="ja-JP"/>
              </w:rPr>
            </w:pPr>
            <w:r>
              <w:rPr>
                <w:rFonts w:hint="eastAsia"/>
              </w:rPr>
              <w:t>5.3</w:t>
            </w:r>
          </w:p>
        </w:tc>
        <w:tc>
          <w:tcPr>
            <w:tcW w:w="612" w:type="dxa"/>
            <w:vAlign w:val="center"/>
          </w:tcPr>
          <w:p>
            <w:pPr>
              <w:shd w:val="clear" w:color="auto" w:fill="C7DAF1" w:themeFill="text2" w:themeFillTint="32"/>
              <w:rPr>
                <w:lang w:eastAsia="ja-JP"/>
              </w:rPr>
            </w:pPr>
            <w:r>
              <w:rPr>
                <w:rFonts w:hint="eastAsia"/>
              </w:rPr>
              <w:t>6.1</w:t>
            </w:r>
          </w:p>
        </w:tc>
        <w:tc>
          <w:tcPr>
            <w:tcW w:w="612" w:type="dxa"/>
            <w:vAlign w:val="center"/>
          </w:tcPr>
          <w:p>
            <w:pPr>
              <w:shd w:val="clear" w:color="auto" w:fill="C7DAF1" w:themeFill="text2" w:themeFillTint="32"/>
              <w:rPr>
                <w:lang w:eastAsia="ja-JP"/>
              </w:rPr>
            </w:pPr>
            <w:r>
              <w:rPr>
                <w:rFonts w:hint="eastAsia"/>
              </w:rPr>
              <w:t>6.2</w:t>
            </w:r>
          </w:p>
        </w:tc>
        <w:tc>
          <w:tcPr>
            <w:tcW w:w="611" w:type="dxa"/>
            <w:vAlign w:val="center"/>
          </w:tcPr>
          <w:p>
            <w:pPr>
              <w:shd w:val="clear" w:color="auto" w:fill="C7DAF1" w:themeFill="text2" w:themeFillTint="32"/>
              <w:rPr>
                <w:lang w:eastAsia="ja-JP"/>
              </w:rPr>
            </w:pPr>
            <w:r>
              <w:rPr>
                <w:rFonts w:hint="eastAsia"/>
              </w:rPr>
              <w:t>6.3</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7.1</w:t>
            </w:r>
          </w:p>
        </w:tc>
        <w:tc>
          <w:tcPr>
            <w:tcW w:w="612" w:type="dxa"/>
            <w:vAlign w:val="center"/>
          </w:tcPr>
          <w:p>
            <w:pPr>
              <w:shd w:val="clear" w:color="auto" w:fill="C7DAF1" w:themeFill="text2" w:themeFillTint="32"/>
              <w:rPr>
                <w:lang w:eastAsia="ja-JP"/>
              </w:rPr>
            </w:pPr>
            <w:r>
              <w:rPr>
                <w:rFonts w:hint="eastAsia"/>
              </w:rPr>
              <w:t>7.2</w:t>
            </w:r>
          </w:p>
        </w:tc>
        <w:tc>
          <w:tcPr>
            <w:tcW w:w="612" w:type="dxa"/>
            <w:vAlign w:val="center"/>
          </w:tcPr>
          <w:p>
            <w:pPr>
              <w:shd w:val="clear" w:color="auto" w:fill="C7DAF1" w:themeFill="text2" w:themeFillTint="32"/>
              <w:rPr>
                <w:lang w:eastAsia="ja-JP"/>
              </w:rPr>
            </w:pPr>
            <w:r>
              <w:rPr>
                <w:rFonts w:hint="eastAsia"/>
              </w:rPr>
              <w:t>7.3</w:t>
            </w:r>
          </w:p>
        </w:tc>
        <w:tc>
          <w:tcPr>
            <w:tcW w:w="611" w:type="dxa"/>
            <w:vAlign w:val="center"/>
          </w:tcPr>
          <w:p>
            <w:pPr>
              <w:shd w:val="clear" w:color="auto" w:fill="C7DAF1" w:themeFill="text2" w:themeFillTint="32"/>
              <w:rPr>
                <w:lang w:eastAsia="ja-JP"/>
              </w:rPr>
            </w:pPr>
            <w:r>
              <w:rPr>
                <w:rFonts w:hint="eastAsia"/>
              </w:rPr>
              <w:t>7.4</w:t>
            </w:r>
          </w:p>
        </w:tc>
        <w:tc>
          <w:tcPr>
            <w:tcW w:w="612" w:type="dxa"/>
            <w:vAlign w:val="center"/>
          </w:tcPr>
          <w:p>
            <w:pPr>
              <w:shd w:val="clear" w:color="auto" w:fill="C7DAF1" w:themeFill="text2" w:themeFillTint="32"/>
              <w:rPr>
                <w:lang w:eastAsia="ja-JP"/>
              </w:rPr>
            </w:pPr>
            <w:r>
              <w:rPr>
                <w:rFonts w:hint="eastAsia"/>
              </w:rPr>
              <w:t>7.5</w:t>
            </w:r>
          </w:p>
        </w:tc>
        <w:tc>
          <w:tcPr>
            <w:tcW w:w="612" w:type="dxa"/>
            <w:vAlign w:val="center"/>
          </w:tcPr>
          <w:p>
            <w:pPr>
              <w:shd w:val="clear" w:color="auto" w:fill="C7DAF1" w:themeFill="text2" w:themeFillTint="32"/>
              <w:rPr>
                <w:lang w:eastAsia="ja-JP"/>
              </w:rPr>
            </w:pPr>
            <w:r>
              <w:rPr>
                <w:rFonts w:hint="eastAsia"/>
              </w:rPr>
              <w:t>8.1</w:t>
            </w:r>
          </w:p>
        </w:tc>
        <w:tc>
          <w:tcPr>
            <w:tcW w:w="611" w:type="dxa"/>
            <w:vAlign w:val="center"/>
          </w:tcPr>
          <w:p>
            <w:pPr>
              <w:shd w:val="clear" w:color="auto" w:fill="C7DAF1" w:themeFill="text2" w:themeFillTint="32"/>
              <w:rPr>
                <w:lang w:eastAsia="ja-JP"/>
              </w:rPr>
            </w:pPr>
            <w:r>
              <w:rPr>
                <w:rFonts w:hint="eastAsia"/>
              </w:rPr>
              <w:t>8.2</w:t>
            </w:r>
          </w:p>
        </w:tc>
        <w:tc>
          <w:tcPr>
            <w:tcW w:w="612" w:type="dxa"/>
            <w:vAlign w:val="center"/>
          </w:tcPr>
          <w:p>
            <w:pPr>
              <w:shd w:val="clear" w:color="auto" w:fill="C7DAF1" w:themeFill="text2" w:themeFillTint="32"/>
              <w:rPr>
                <w:lang w:eastAsia="ja-JP"/>
              </w:rPr>
            </w:pPr>
            <w:r>
              <w:rPr>
                <w:rFonts w:hint="eastAsia"/>
              </w:rPr>
              <w:t>8.3</w:t>
            </w:r>
          </w:p>
        </w:tc>
        <w:tc>
          <w:tcPr>
            <w:tcW w:w="612" w:type="dxa"/>
            <w:vAlign w:val="center"/>
          </w:tcPr>
          <w:p>
            <w:pPr>
              <w:shd w:val="clear" w:color="auto" w:fill="C7DAF1" w:themeFill="text2" w:themeFillTint="32"/>
              <w:rPr>
                <w:lang w:eastAsia="ja-JP"/>
              </w:rPr>
            </w:pPr>
            <w:r>
              <w:rPr>
                <w:rFonts w:hint="eastAsia"/>
              </w:rPr>
              <w:t>8.4</w:t>
            </w:r>
          </w:p>
        </w:tc>
        <w:tc>
          <w:tcPr>
            <w:tcW w:w="611" w:type="dxa"/>
            <w:vAlign w:val="center"/>
          </w:tcPr>
          <w:p>
            <w:pPr>
              <w:shd w:val="clear" w:color="auto" w:fill="C7DAF1" w:themeFill="text2" w:themeFillTint="32"/>
              <w:rPr>
                <w:lang w:eastAsia="ja-JP"/>
              </w:rPr>
            </w:pPr>
            <w:r>
              <w:rPr>
                <w:rFonts w:hint="eastAsia"/>
              </w:rPr>
              <w:t>8.5</w:t>
            </w:r>
          </w:p>
        </w:tc>
        <w:tc>
          <w:tcPr>
            <w:tcW w:w="612" w:type="dxa"/>
            <w:vAlign w:val="center"/>
          </w:tcPr>
          <w:p>
            <w:pPr>
              <w:shd w:val="clear" w:color="auto" w:fill="C7DAF1" w:themeFill="text2" w:themeFillTint="32"/>
              <w:rPr>
                <w:lang w:eastAsia="ja-JP"/>
              </w:rPr>
            </w:pPr>
            <w:r>
              <w:rPr>
                <w:rFonts w:hint="eastAsia"/>
              </w:rPr>
              <w:t>8.6</w:t>
            </w:r>
          </w:p>
        </w:tc>
        <w:tc>
          <w:tcPr>
            <w:tcW w:w="612"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3</w:t>
            </w: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c>
          <w:tcPr>
            <w:tcW w:w="611"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9.1</w:t>
            </w:r>
          </w:p>
        </w:tc>
        <w:tc>
          <w:tcPr>
            <w:tcW w:w="612" w:type="dxa"/>
            <w:vAlign w:val="center"/>
          </w:tcPr>
          <w:p>
            <w:pPr>
              <w:shd w:val="clear" w:color="auto" w:fill="C7DAF1" w:themeFill="text2" w:themeFillTint="32"/>
              <w:rPr>
                <w:lang w:eastAsia="ja-JP"/>
              </w:rPr>
            </w:pPr>
            <w:r>
              <w:rPr>
                <w:rFonts w:hint="eastAsia"/>
              </w:rPr>
              <w:t>9.2</w:t>
            </w:r>
          </w:p>
        </w:tc>
        <w:tc>
          <w:tcPr>
            <w:tcW w:w="612" w:type="dxa"/>
            <w:vAlign w:val="center"/>
          </w:tcPr>
          <w:p>
            <w:pPr>
              <w:shd w:val="clear" w:color="auto" w:fill="C7DAF1" w:themeFill="text2" w:themeFillTint="32"/>
              <w:rPr>
                <w:lang w:eastAsia="ja-JP"/>
              </w:rPr>
            </w:pPr>
            <w:r>
              <w:rPr>
                <w:rFonts w:hint="eastAsia"/>
              </w:rPr>
              <w:t>9.3</w:t>
            </w:r>
          </w:p>
        </w:tc>
        <w:tc>
          <w:tcPr>
            <w:tcW w:w="611" w:type="dxa"/>
            <w:vAlign w:val="center"/>
          </w:tcPr>
          <w:p>
            <w:pPr>
              <w:shd w:val="clear" w:color="auto" w:fill="C7DAF1" w:themeFill="text2" w:themeFillTint="32"/>
              <w:rPr>
                <w:lang w:eastAsia="ja-JP"/>
              </w:rPr>
            </w:pPr>
            <w:r>
              <w:rPr>
                <w:rFonts w:hint="eastAsia"/>
              </w:rPr>
              <w:t>10.1</w:t>
            </w:r>
          </w:p>
        </w:tc>
        <w:tc>
          <w:tcPr>
            <w:tcW w:w="612" w:type="dxa"/>
            <w:vAlign w:val="center"/>
          </w:tcPr>
          <w:p>
            <w:pPr>
              <w:shd w:val="clear" w:color="auto" w:fill="C7DAF1" w:themeFill="text2" w:themeFillTint="32"/>
              <w:rPr>
                <w:lang w:eastAsia="ja-JP"/>
              </w:rPr>
            </w:pPr>
            <w:r>
              <w:rPr>
                <w:rFonts w:hint="eastAsia"/>
              </w:rPr>
              <w:t>10.2</w:t>
            </w:r>
          </w:p>
        </w:tc>
        <w:tc>
          <w:tcPr>
            <w:tcW w:w="612" w:type="dxa"/>
            <w:vAlign w:val="center"/>
          </w:tcPr>
          <w:p>
            <w:pPr>
              <w:shd w:val="clear" w:color="auto" w:fill="C7DAF1" w:themeFill="text2" w:themeFillTint="32"/>
              <w:rPr>
                <w:lang w:eastAsia="ja-JP"/>
              </w:rPr>
            </w:pPr>
            <w:r>
              <w:rPr>
                <w:rFonts w:hint="eastAsia"/>
              </w:rPr>
              <w:t>10.3</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sz w:val="20"/>
          <w:szCs w:val="20"/>
        </w:rPr>
      </w:pPr>
    </w:p>
    <w:p>
      <w:pPr>
        <w:spacing w:before="40" w:after="40"/>
        <w:rPr>
          <w:rFonts w:eastAsia="微软雅黑"/>
        </w:rPr>
      </w:pPr>
    </w:p>
    <w:p>
      <w:pPr>
        <w:pStyle w:val="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60288;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8B6020"/>
    <w:rsid w:val="0E757554"/>
    <w:rsid w:val="128D26BE"/>
    <w:rsid w:val="15D701EC"/>
    <w:rsid w:val="16E075A1"/>
    <w:rsid w:val="1D5E24FA"/>
    <w:rsid w:val="1FE03822"/>
    <w:rsid w:val="21ED7560"/>
    <w:rsid w:val="22636413"/>
    <w:rsid w:val="23115F3D"/>
    <w:rsid w:val="2BE22CD5"/>
    <w:rsid w:val="33041899"/>
    <w:rsid w:val="39961EF5"/>
    <w:rsid w:val="3AC27556"/>
    <w:rsid w:val="412A05E8"/>
    <w:rsid w:val="51617A47"/>
    <w:rsid w:val="577D3760"/>
    <w:rsid w:val="57EF2B1C"/>
    <w:rsid w:val="5DA14295"/>
    <w:rsid w:val="627E0F57"/>
    <w:rsid w:val="635460B5"/>
    <w:rsid w:val="67FD474E"/>
    <w:rsid w:val="713C568E"/>
    <w:rsid w:val="73DD31EA"/>
    <w:rsid w:val="75DC58A1"/>
    <w:rsid w:val="76FA56E2"/>
    <w:rsid w:val="791859F0"/>
    <w:rsid w:val="7BDB26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0</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2021-08-27T06:02:40Z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