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1019"/>
        <w:gridCol w:w="11223"/>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07" w:type="dxa"/>
            <w:vMerge w:val="restart"/>
            <w:vAlign w:val="center"/>
          </w:tcPr>
          <w:p>
            <w:pPr>
              <w:spacing w:line="320" w:lineRule="exact"/>
              <w:jc w:val="center"/>
              <w:rPr>
                <w:rFonts w:ascii="宋体" w:hAnsi="宋体" w:cs="宋体"/>
                <w:sz w:val="24"/>
                <w:szCs w:val="24"/>
              </w:rPr>
            </w:pPr>
            <w:r>
              <w:rPr>
                <w:rFonts w:hint="eastAsia" w:ascii="宋体" w:hAnsi="宋体" w:cs="宋体"/>
                <w:sz w:val="24"/>
                <w:szCs w:val="24"/>
              </w:rPr>
              <w:t>过程与活动、</w:t>
            </w:r>
          </w:p>
          <w:p>
            <w:pPr>
              <w:spacing w:line="320" w:lineRule="exact"/>
              <w:jc w:val="center"/>
              <w:rPr>
                <w:rFonts w:ascii="宋体" w:hAnsi="宋体" w:cs="宋体"/>
                <w:sz w:val="24"/>
                <w:szCs w:val="24"/>
              </w:rPr>
            </w:pPr>
            <w:r>
              <w:rPr>
                <w:rFonts w:hint="eastAsia" w:ascii="宋体" w:hAnsi="宋体" w:cs="宋体"/>
                <w:sz w:val="24"/>
                <w:szCs w:val="24"/>
              </w:rPr>
              <w:t>抽样计划</w:t>
            </w:r>
          </w:p>
        </w:tc>
        <w:tc>
          <w:tcPr>
            <w:tcW w:w="1019" w:type="dxa"/>
            <w:vMerge w:val="restart"/>
            <w:vAlign w:val="center"/>
          </w:tcPr>
          <w:p>
            <w:pPr>
              <w:spacing w:line="320" w:lineRule="exact"/>
              <w:rPr>
                <w:rFonts w:ascii="宋体" w:hAnsi="宋体" w:cs="宋体"/>
                <w:sz w:val="24"/>
                <w:szCs w:val="24"/>
              </w:rPr>
            </w:pPr>
            <w:r>
              <w:rPr>
                <w:rFonts w:hint="eastAsia" w:ascii="宋体" w:hAnsi="宋体" w:cs="宋体"/>
                <w:sz w:val="24"/>
                <w:szCs w:val="24"/>
              </w:rPr>
              <w:t>涉及</w:t>
            </w:r>
          </w:p>
          <w:p>
            <w:pPr>
              <w:spacing w:line="320" w:lineRule="exact"/>
              <w:rPr>
                <w:rFonts w:ascii="宋体" w:hAnsi="宋体" w:cs="宋体"/>
                <w:sz w:val="24"/>
                <w:szCs w:val="24"/>
              </w:rPr>
            </w:pPr>
            <w:r>
              <w:rPr>
                <w:rFonts w:hint="eastAsia" w:ascii="宋体" w:hAnsi="宋体" w:cs="宋体"/>
                <w:sz w:val="24"/>
                <w:szCs w:val="24"/>
              </w:rPr>
              <w:t>条款</w:t>
            </w:r>
          </w:p>
        </w:tc>
        <w:tc>
          <w:tcPr>
            <w:tcW w:w="11223" w:type="dxa"/>
            <w:vAlign w:val="center"/>
          </w:tcPr>
          <w:p>
            <w:pPr>
              <w:spacing w:line="320" w:lineRule="exact"/>
              <w:rPr>
                <w:rFonts w:ascii="宋体" w:hAnsi="宋体" w:cs="宋体"/>
                <w:color w:val="000000"/>
                <w:szCs w:val="21"/>
              </w:rPr>
            </w:pPr>
            <w:r>
              <w:rPr>
                <w:rFonts w:hint="eastAsia" w:ascii="宋体" w:hAnsi="宋体" w:cs="宋体"/>
                <w:color w:val="000000"/>
                <w:szCs w:val="21"/>
              </w:rPr>
              <w:t>受审核部门：质检部    主管领导：</w:t>
            </w:r>
            <w:r>
              <w:rPr>
                <w:rFonts w:hint="eastAsia"/>
              </w:rPr>
              <w:t xml:space="preserve">党云鸽 </w:t>
            </w:r>
            <w:r>
              <w:t xml:space="preserve">   </w:t>
            </w:r>
            <w:r>
              <w:rPr>
                <w:rFonts w:hint="eastAsia" w:ascii="宋体" w:hAnsi="宋体" w:cs="宋体"/>
                <w:color w:val="000000"/>
                <w:szCs w:val="21"/>
              </w:rPr>
              <w:t>陪同人员：</w:t>
            </w:r>
            <w:r>
              <w:rPr>
                <w:rFonts w:hint="eastAsia"/>
              </w:rPr>
              <w:t>吴玉华</w:t>
            </w:r>
          </w:p>
        </w:tc>
        <w:tc>
          <w:tcPr>
            <w:tcW w:w="760" w:type="dxa"/>
            <w:vMerge w:val="restart"/>
            <w:vAlign w:val="center"/>
          </w:tcPr>
          <w:p>
            <w:pPr>
              <w:spacing w:line="320" w:lineRule="exact"/>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7" w:type="dxa"/>
            <w:vMerge w:val="continue"/>
            <w:vAlign w:val="center"/>
          </w:tcPr>
          <w:p>
            <w:pPr>
              <w:spacing w:line="320" w:lineRule="exact"/>
              <w:rPr>
                <w:rFonts w:ascii="宋体" w:hAnsi="宋体" w:cs="宋体"/>
                <w:sz w:val="24"/>
                <w:szCs w:val="24"/>
              </w:rPr>
            </w:pPr>
          </w:p>
        </w:tc>
        <w:tc>
          <w:tcPr>
            <w:tcW w:w="1019" w:type="dxa"/>
            <w:vMerge w:val="continue"/>
            <w:vAlign w:val="center"/>
          </w:tcPr>
          <w:p>
            <w:pPr>
              <w:spacing w:line="320" w:lineRule="exact"/>
              <w:rPr>
                <w:rFonts w:ascii="宋体" w:hAnsi="宋体" w:cs="宋体"/>
                <w:sz w:val="24"/>
                <w:szCs w:val="24"/>
              </w:rPr>
            </w:pPr>
          </w:p>
        </w:tc>
        <w:tc>
          <w:tcPr>
            <w:tcW w:w="11223" w:type="dxa"/>
            <w:vAlign w:val="center"/>
          </w:tcPr>
          <w:p>
            <w:pPr>
              <w:spacing w:line="320" w:lineRule="exact"/>
              <w:rPr>
                <w:rFonts w:hint="default" w:ascii="宋体" w:hAnsi="宋体" w:cs="宋体"/>
                <w:color w:val="000000"/>
                <w:szCs w:val="21"/>
                <w:lang w:val="en-US"/>
              </w:rPr>
            </w:pPr>
            <w:r>
              <w:rPr>
                <w:rFonts w:hint="eastAsia" w:ascii="宋体" w:hAnsi="宋体" w:cs="宋体"/>
                <w:color w:val="000000"/>
                <w:szCs w:val="21"/>
              </w:rPr>
              <w:t>审核员：李京田           审核时间：</w:t>
            </w:r>
            <w:r>
              <w:rPr>
                <w:rFonts w:hint="eastAsia" w:ascii="宋体" w:hAnsi="宋体" w:cs="宋体"/>
                <w:color w:val="000000"/>
                <w:szCs w:val="21"/>
                <w:lang w:eastAsia="zh-CN"/>
              </w:rPr>
              <w:t>202</w:t>
            </w:r>
            <w:r>
              <w:rPr>
                <w:rFonts w:hint="eastAsia" w:ascii="宋体" w:hAnsi="宋体" w:cs="宋体"/>
                <w:color w:val="000000"/>
                <w:szCs w:val="21"/>
                <w:lang w:val="en-US" w:eastAsia="zh-CN"/>
              </w:rPr>
              <w:t>1.8.28</w:t>
            </w:r>
          </w:p>
        </w:tc>
        <w:tc>
          <w:tcPr>
            <w:tcW w:w="760" w:type="dxa"/>
            <w:vMerge w:val="continue"/>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07" w:type="dxa"/>
            <w:vMerge w:val="continue"/>
            <w:vAlign w:val="center"/>
          </w:tcPr>
          <w:p>
            <w:pPr>
              <w:spacing w:line="320" w:lineRule="exact"/>
              <w:rPr>
                <w:rFonts w:ascii="宋体" w:hAnsi="宋体" w:cs="宋体"/>
                <w:sz w:val="24"/>
                <w:szCs w:val="24"/>
              </w:rPr>
            </w:pPr>
          </w:p>
        </w:tc>
        <w:tc>
          <w:tcPr>
            <w:tcW w:w="1019" w:type="dxa"/>
            <w:vMerge w:val="continue"/>
            <w:vAlign w:val="center"/>
          </w:tcPr>
          <w:p>
            <w:pPr>
              <w:spacing w:line="320" w:lineRule="exact"/>
              <w:rPr>
                <w:rFonts w:ascii="宋体" w:hAnsi="宋体" w:cs="宋体"/>
                <w:sz w:val="24"/>
                <w:szCs w:val="24"/>
              </w:rPr>
            </w:pPr>
          </w:p>
        </w:tc>
        <w:tc>
          <w:tcPr>
            <w:tcW w:w="11223" w:type="dxa"/>
            <w:vAlign w:val="center"/>
          </w:tcPr>
          <w:p>
            <w:pPr>
              <w:snapToGrid w:val="0"/>
              <w:spacing w:line="260" w:lineRule="exact"/>
              <w:rPr>
                <w:rFonts w:ascii="宋体" w:hAnsi="宋体" w:cs="宋体"/>
                <w:szCs w:val="21"/>
              </w:rPr>
            </w:pPr>
            <w:r>
              <w:rPr>
                <w:rFonts w:hint="eastAsia" w:ascii="宋体" w:hAnsi="宋体" w:cs="宋体"/>
                <w:szCs w:val="21"/>
              </w:rPr>
              <w:t>涉及标准条款：</w:t>
            </w:r>
          </w:p>
          <w:p>
            <w:pPr>
              <w:rPr>
                <w:rFonts w:ascii="宋体" w:hAnsi="宋体" w:cs="宋体"/>
                <w:sz w:val="24"/>
                <w:szCs w:val="24"/>
              </w:rPr>
            </w:pPr>
            <w:r>
              <w:rPr>
                <w:rFonts w:ascii="宋体" w:hAnsi="宋体"/>
                <w:sz w:val="18"/>
              </w:rPr>
              <w:t>Q</w:t>
            </w:r>
            <w:r>
              <w:rPr>
                <w:rFonts w:hint="eastAsia" w:ascii="宋体" w:hAnsi="宋体"/>
                <w:sz w:val="18"/>
              </w:rPr>
              <w:t>:</w:t>
            </w:r>
            <w:r>
              <w:rPr>
                <w:rFonts w:ascii="宋体" w:hAnsi="宋体"/>
                <w:sz w:val="18"/>
              </w:rPr>
              <w:t>5.3</w:t>
            </w:r>
            <w:r>
              <w:rPr>
                <w:rFonts w:hint="eastAsia" w:ascii="宋体" w:hAnsi="宋体"/>
                <w:sz w:val="18"/>
              </w:rPr>
              <w:t>/6.1.2/6.2/</w:t>
            </w:r>
            <w:r>
              <w:rPr>
                <w:rFonts w:ascii="宋体" w:hAnsi="宋体"/>
                <w:sz w:val="18"/>
              </w:rPr>
              <w:t>8.6</w:t>
            </w:r>
            <w:r>
              <w:rPr>
                <w:rFonts w:hint="eastAsia" w:ascii="宋体" w:hAnsi="宋体"/>
                <w:sz w:val="18"/>
              </w:rPr>
              <w:t xml:space="preserve">    E</w:t>
            </w:r>
            <w:r>
              <w:rPr>
                <w:rFonts w:hint="eastAsia" w:ascii="宋体" w:hAnsi="宋体"/>
                <w:sz w:val="18"/>
                <w:lang w:val="en-US" w:eastAsia="zh-CN"/>
              </w:rPr>
              <w:t>S</w:t>
            </w:r>
            <w:r>
              <w:rPr>
                <w:rFonts w:ascii="宋体" w:hAnsi="宋体"/>
                <w:sz w:val="18"/>
              </w:rPr>
              <w:t>:5.3/6.2/6.1.2/8.1/8.2</w:t>
            </w:r>
            <w:r>
              <w:rPr>
                <w:rFonts w:hint="eastAsia" w:ascii="宋体" w:hAnsi="宋体"/>
                <w:sz w:val="18"/>
              </w:rPr>
              <w:t xml:space="preserve">   </w:t>
            </w:r>
          </w:p>
        </w:tc>
        <w:tc>
          <w:tcPr>
            <w:tcW w:w="760" w:type="dxa"/>
            <w:vMerge w:val="continue"/>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707" w:type="dxa"/>
          </w:tcPr>
          <w:p>
            <w:pPr>
              <w:spacing w:line="380" w:lineRule="exact"/>
              <w:rPr>
                <w:rFonts w:ascii="宋体" w:hAnsi="宋体" w:cs="宋体"/>
                <w:color w:val="000000"/>
                <w:kern w:val="0"/>
                <w:szCs w:val="21"/>
              </w:rPr>
            </w:pPr>
            <w:r>
              <w:rPr>
                <w:rFonts w:hint="eastAsia" w:ascii="宋体" w:hAnsi="宋体" w:cs="宋体"/>
                <w:color w:val="000000"/>
                <w:kern w:val="0"/>
                <w:szCs w:val="21"/>
              </w:rPr>
              <w:t>组织的岗位职责和权限</w:t>
            </w:r>
          </w:p>
          <w:p>
            <w:pPr>
              <w:spacing w:line="380" w:lineRule="exact"/>
              <w:rPr>
                <w:rFonts w:ascii="宋体" w:hAnsi="宋体" w:cs="宋体"/>
                <w:szCs w:val="21"/>
              </w:rPr>
            </w:pPr>
          </w:p>
        </w:tc>
        <w:tc>
          <w:tcPr>
            <w:tcW w:w="1019" w:type="dxa"/>
          </w:tcPr>
          <w:p>
            <w:pPr>
              <w:spacing w:line="380" w:lineRule="exact"/>
              <w:rPr>
                <w:rFonts w:ascii="宋体" w:hAnsi="宋体" w:cs="宋体"/>
                <w:color w:val="000000"/>
                <w:kern w:val="0"/>
                <w:szCs w:val="21"/>
              </w:rPr>
            </w:pPr>
            <w:r>
              <w:rPr>
                <w:rFonts w:hint="eastAsia" w:ascii="宋体" w:hAnsi="宋体" w:cs="宋体"/>
                <w:color w:val="000000"/>
                <w:kern w:val="0"/>
                <w:szCs w:val="21"/>
              </w:rPr>
              <w:t>QE</w:t>
            </w:r>
            <w:r>
              <w:rPr>
                <w:rFonts w:hint="eastAsia" w:ascii="宋体" w:hAnsi="宋体" w:cs="宋体"/>
                <w:color w:val="000000"/>
                <w:kern w:val="0"/>
                <w:szCs w:val="21"/>
                <w:lang w:val="en-US" w:eastAsia="zh-CN"/>
              </w:rPr>
              <w:t>S</w:t>
            </w:r>
            <w:r>
              <w:rPr>
                <w:rFonts w:hint="eastAsia" w:ascii="宋体" w:hAnsi="宋体" w:cs="宋体"/>
                <w:color w:val="000000"/>
                <w:kern w:val="0"/>
                <w:szCs w:val="21"/>
              </w:rPr>
              <w:t>5.3</w:t>
            </w:r>
          </w:p>
          <w:p>
            <w:pPr>
              <w:spacing w:line="380" w:lineRule="exact"/>
              <w:rPr>
                <w:rFonts w:ascii="宋体" w:hAnsi="宋体" w:cs="宋体"/>
                <w:szCs w:val="21"/>
              </w:rPr>
            </w:pPr>
          </w:p>
        </w:tc>
        <w:tc>
          <w:tcPr>
            <w:tcW w:w="11223" w:type="dxa"/>
            <w:vAlign w:val="center"/>
          </w:tcPr>
          <w:p>
            <w:pPr>
              <w:spacing w:line="380" w:lineRule="exact"/>
              <w:ind w:firstLine="420" w:firstLineChars="200"/>
              <w:rPr>
                <w:rFonts w:ascii="宋体" w:hAnsi="宋体" w:cs="宋体"/>
                <w:color w:val="000000"/>
                <w:szCs w:val="21"/>
              </w:rPr>
            </w:pPr>
            <w:r>
              <w:rPr>
                <w:rFonts w:hint="eastAsia" w:ascii="宋体" w:hAnsi="宋体" w:cs="宋体"/>
                <w:color w:val="000000"/>
                <w:szCs w:val="21"/>
              </w:rPr>
              <w:t>本部门主要负责质量检验产品放行及相应环境和职业健康安全的运行控制。</w:t>
            </w:r>
          </w:p>
          <w:p>
            <w:pPr>
              <w:spacing w:line="380" w:lineRule="exact"/>
              <w:ind w:firstLine="420" w:firstLineChars="200"/>
              <w:rPr>
                <w:rFonts w:ascii="宋体" w:hAnsi="宋体" w:cs="宋体"/>
                <w:szCs w:val="21"/>
              </w:rPr>
            </w:pPr>
            <w:r>
              <w:rPr>
                <w:rFonts w:hint="eastAsia" w:ascii="宋体" w:hAnsi="宋体" w:cs="宋体"/>
                <w:color w:val="000000"/>
                <w:szCs w:val="21"/>
              </w:rPr>
              <w:t>与部门负责人沟通，了解本部门的职责权限，暂无变化。</w:t>
            </w:r>
          </w:p>
        </w:tc>
        <w:tc>
          <w:tcPr>
            <w:tcW w:w="760" w:type="dxa"/>
          </w:tcPr>
          <w:p>
            <w:pPr>
              <w:spacing w:line="38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707" w:type="dxa"/>
          </w:tcPr>
          <w:p>
            <w:pPr>
              <w:spacing w:line="380" w:lineRule="exact"/>
              <w:rPr>
                <w:rFonts w:ascii="宋体" w:hAnsi="宋体" w:cs="宋体"/>
                <w:szCs w:val="21"/>
              </w:rPr>
            </w:pPr>
            <w:r>
              <w:rPr>
                <w:rFonts w:hint="eastAsia" w:ascii="宋体" w:hAnsi="宋体" w:cs="宋体"/>
                <w:color w:val="000000"/>
                <w:kern w:val="0"/>
                <w:szCs w:val="21"/>
              </w:rPr>
              <w:t>目标及其实现的策划总要求</w:t>
            </w:r>
          </w:p>
        </w:tc>
        <w:tc>
          <w:tcPr>
            <w:tcW w:w="1019" w:type="dxa"/>
          </w:tcPr>
          <w:p>
            <w:pPr>
              <w:spacing w:line="380" w:lineRule="exact"/>
              <w:rPr>
                <w:rFonts w:ascii="宋体" w:hAnsi="宋体" w:cs="宋体"/>
                <w:color w:val="000000"/>
                <w:kern w:val="0"/>
                <w:szCs w:val="21"/>
              </w:rPr>
            </w:pPr>
            <w:r>
              <w:rPr>
                <w:rFonts w:hint="eastAsia" w:ascii="宋体" w:hAnsi="宋体" w:cs="宋体"/>
                <w:color w:val="000000"/>
                <w:kern w:val="0"/>
                <w:szCs w:val="21"/>
              </w:rPr>
              <w:t>QE</w:t>
            </w:r>
            <w:r>
              <w:rPr>
                <w:rFonts w:hint="eastAsia" w:ascii="宋体" w:hAnsi="宋体" w:cs="宋体"/>
                <w:color w:val="000000"/>
                <w:kern w:val="0"/>
                <w:szCs w:val="21"/>
                <w:lang w:val="en-US" w:eastAsia="zh-CN"/>
              </w:rPr>
              <w:t>S</w:t>
            </w:r>
            <w:r>
              <w:rPr>
                <w:rFonts w:hint="eastAsia" w:ascii="宋体" w:hAnsi="宋体" w:cs="宋体"/>
                <w:color w:val="000000"/>
                <w:kern w:val="0"/>
                <w:szCs w:val="21"/>
              </w:rPr>
              <w:t>6.2</w:t>
            </w:r>
          </w:p>
          <w:p>
            <w:pPr>
              <w:spacing w:line="380" w:lineRule="exact"/>
              <w:rPr>
                <w:rFonts w:ascii="宋体" w:hAnsi="宋体" w:cs="宋体"/>
                <w:szCs w:val="21"/>
              </w:rPr>
            </w:pPr>
          </w:p>
        </w:tc>
        <w:tc>
          <w:tcPr>
            <w:tcW w:w="11223" w:type="dxa"/>
            <w:vAlign w:val="center"/>
          </w:tcPr>
          <w:p>
            <w:pPr>
              <w:spacing w:line="380" w:lineRule="exact"/>
              <w:ind w:firstLine="420" w:firstLineChars="200"/>
              <w:rPr>
                <w:rFonts w:ascii="宋体" w:hAnsi="宋体" w:cs="宋体"/>
                <w:color w:val="000000"/>
                <w:szCs w:val="21"/>
              </w:rPr>
            </w:pPr>
            <w:r>
              <w:rPr>
                <w:rFonts w:hint="eastAsia" w:ascii="宋体" w:hAnsi="宋体" w:cs="宋体"/>
                <w:color w:val="000000"/>
                <w:szCs w:val="21"/>
              </w:rPr>
              <w:t>提供《目标分解表》，主要目标有:</w:t>
            </w:r>
          </w:p>
          <w:p>
            <w:pPr>
              <w:spacing w:line="380" w:lineRule="exact"/>
              <w:ind w:firstLine="420" w:firstLineChars="200"/>
              <w:rPr>
                <w:rFonts w:ascii="宋体" w:hAnsi="宋体" w:cs="宋体"/>
                <w:color w:val="000000"/>
                <w:szCs w:val="21"/>
              </w:rPr>
            </w:pPr>
            <w:r>
              <w:rPr>
                <w:rFonts w:hint="eastAsia" w:ascii="宋体" w:hAnsi="宋体" w:cs="宋体"/>
                <w:color w:val="000000"/>
                <w:szCs w:val="21"/>
              </w:rPr>
              <w:t>错检、漏检率0</w:t>
            </w:r>
          </w:p>
          <w:p>
            <w:pPr>
              <w:spacing w:line="380" w:lineRule="exact"/>
              <w:ind w:firstLine="420" w:firstLineChars="200"/>
              <w:rPr>
                <w:rFonts w:ascii="宋体" w:hAnsi="宋体" w:cs="宋体"/>
                <w:color w:val="000000"/>
                <w:szCs w:val="21"/>
              </w:rPr>
            </w:pPr>
            <w:r>
              <w:rPr>
                <w:rFonts w:hint="eastAsia" w:ascii="宋体" w:hAnsi="宋体"/>
                <w:color w:val="000000"/>
                <w:szCs w:val="21"/>
              </w:rPr>
              <w:t>固体废弃物分类处置率100%</w:t>
            </w:r>
          </w:p>
          <w:p>
            <w:pPr>
              <w:spacing w:line="380" w:lineRule="exact"/>
              <w:ind w:firstLine="420" w:firstLineChars="200"/>
              <w:rPr>
                <w:rFonts w:ascii="宋体" w:hAnsi="宋体"/>
                <w:color w:val="000000"/>
                <w:szCs w:val="21"/>
              </w:rPr>
            </w:pPr>
            <w:r>
              <w:rPr>
                <w:rFonts w:hint="eastAsia" w:ascii="宋体" w:hAnsi="宋体"/>
                <w:color w:val="000000"/>
                <w:szCs w:val="21"/>
              </w:rPr>
              <w:t>火灾、爆炸事故为0；</w:t>
            </w:r>
          </w:p>
          <w:p>
            <w:pPr>
              <w:spacing w:line="380" w:lineRule="exact"/>
              <w:ind w:firstLine="420" w:firstLineChars="200"/>
              <w:rPr>
                <w:rFonts w:ascii="宋体" w:hAnsi="宋体" w:cs="宋体"/>
                <w:szCs w:val="21"/>
              </w:rPr>
            </w:pPr>
            <w:r>
              <w:rPr>
                <w:rFonts w:hint="eastAsia" w:ascii="宋体" w:hAnsi="宋体" w:cs="宋体"/>
                <w:color w:val="000000"/>
                <w:szCs w:val="21"/>
              </w:rPr>
              <w:t>部门分解目标与公司方针一致，可测量，已经完成。并传达到部门相关人员，必要时适时更新，目前无变化。</w:t>
            </w:r>
          </w:p>
        </w:tc>
        <w:tc>
          <w:tcPr>
            <w:tcW w:w="760" w:type="dxa"/>
          </w:tcPr>
          <w:p>
            <w:pPr>
              <w:spacing w:line="38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707" w:type="dxa"/>
          </w:tcPr>
          <w:p>
            <w:pPr>
              <w:spacing w:line="380" w:lineRule="exact"/>
              <w:rPr>
                <w:rFonts w:ascii="宋体" w:hAnsi="宋体" w:cs="宋体"/>
                <w:szCs w:val="21"/>
              </w:rPr>
            </w:pPr>
            <w:r>
              <w:rPr>
                <w:rFonts w:hint="eastAsia"/>
                <w:bCs/>
                <w:szCs w:val="21"/>
              </w:rPr>
              <w:t>产品和服务的放行</w:t>
            </w:r>
          </w:p>
        </w:tc>
        <w:tc>
          <w:tcPr>
            <w:tcW w:w="1019" w:type="dxa"/>
          </w:tcPr>
          <w:p>
            <w:pPr>
              <w:spacing w:line="380" w:lineRule="exact"/>
              <w:rPr>
                <w:rFonts w:ascii="宋体" w:hAnsi="宋体" w:cs="宋体"/>
                <w:bCs/>
                <w:szCs w:val="21"/>
              </w:rPr>
            </w:pPr>
            <w:r>
              <w:rPr>
                <w:rFonts w:hint="eastAsia" w:ascii="宋体" w:hAnsi="宋体" w:cs="宋体"/>
                <w:bCs/>
                <w:szCs w:val="21"/>
              </w:rPr>
              <w:t>Q8.6</w:t>
            </w:r>
          </w:p>
          <w:p>
            <w:pPr>
              <w:spacing w:line="380" w:lineRule="exact"/>
              <w:rPr>
                <w:rFonts w:ascii="宋体" w:hAnsi="宋体" w:cs="宋体"/>
                <w:szCs w:val="21"/>
              </w:rPr>
            </w:pPr>
          </w:p>
        </w:tc>
        <w:tc>
          <w:tcPr>
            <w:tcW w:w="11223" w:type="dxa"/>
          </w:tcPr>
          <w:p>
            <w:pPr>
              <w:numPr>
                <w:ilvl w:val="0"/>
                <w:numId w:val="1"/>
              </w:numPr>
              <w:spacing w:line="380" w:lineRule="exact"/>
              <w:ind w:firstLine="421"/>
              <w:rPr>
                <w:rFonts w:hint="eastAsia" w:ascii="宋体" w:hAnsi="宋体" w:cs="宋体"/>
                <w:b/>
                <w:bCs/>
                <w:szCs w:val="21"/>
                <w:lang w:val="en-US" w:eastAsia="zh-CN"/>
              </w:rPr>
            </w:pPr>
            <w:r>
              <w:rPr>
                <w:rFonts w:hint="eastAsia" w:ascii="宋体" w:hAnsi="宋体" w:cs="宋体"/>
                <w:b/>
                <w:bCs/>
                <w:szCs w:val="21"/>
                <w:lang w:val="en-US" w:eastAsia="zh-CN"/>
              </w:rPr>
              <w:t>采购检验：由质检部按照检验规程进行检验</w:t>
            </w:r>
          </w:p>
          <w:p>
            <w:pPr>
              <w:pStyle w:val="2"/>
            </w:pPr>
            <w:bookmarkStart w:id="0" w:name="_GoBack"/>
            <w:r>
              <w:drawing>
                <wp:inline distT="0" distB="0" distL="114300" distR="114300">
                  <wp:extent cx="2538095" cy="4239260"/>
                  <wp:effectExtent l="0" t="0" r="1905" b="254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2538095" cy="4239260"/>
                          </a:xfrm>
                          <a:prstGeom prst="rect">
                            <a:avLst/>
                          </a:prstGeom>
                          <a:noFill/>
                          <a:ln>
                            <a:noFill/>
                          </a:ln>
                        </pic:spPr>
                      </pic:pic>
                    </a:graphicData>
                  </a:graphic>
                </wp:inline>
              </w:drawing>
            </w:r>
            <w:bookmarkEnd w:id="0"/>
            <w:r>
              <w:rPr>
                <w:rFonts w:hint="eastAsia"/>
                <w:lang w:val="en-US" w:eastAsia="zh-CN"/>
              </w:rPr>
              <w:t xml:space="preserve">  </w:t>
            </w:r>
            <w:r>
              <w:drawing>
                <wp:inline distT="0" distB="0" distL="114300" distR="114300">
                  <wp:extent cx="3251200" cy="4241800"/>
                  <wp:effectExtent l="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3251200" cy="4241800"/>
                          </a:xfrm>
                          <a:prstGeom prst="rect">
                            <a:avLst/>
                          </a:prstGeom>
                          <a:noFill/>
                          <a:ln>
                            <a:noFill/>
                          </a:ln>
                        </pic:spPr>
                      </pic:pic>
                    </a:graphicData>
                  </a:graphic>
                </wp:inline>
              </w:drawing>
            </w:r>
          </w:p>
          <w:p>
            <w:pPr>
              <w:pStyle w:val="2"/>
            </w:pPr>
          </w:p>
          <w:p>
            <w:pPr>
              <w:pStyle w:val="2"/>
            </w:pPr>
            <w:r>
              <w:rPr>
                <w:rFonts w:hint="eastAsia"/>
                <w:lang w:val="en-US" w:eastAsia="zh-CN"/>
              </w:rPr>
              <w:t xml:space="preserve"> </w:t>
            </w:r>
            <w:r>
              <w:drawing>
                <wp:inline distT="0" distB="0" distL="114300" distR="114300">
                  <wp:extent cx="3018790" cy="4483100"/>
                  <wp:effectExtent l="0" t="0" r="3810"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8"/>
                          <a:stretch>
                            <a:fillRect/>
                          </a:stretch>
                        </pic:blipFill>
                        <pic:spPr>
                          <a:xfrm>
                            <a:off x="0" y="0"/>
                            <a:ext cx="3018790" cy="4483100"/>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3238500" cy="4521200"/>
                  <wp:effectExtent l="0" t="0" r="0"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9"/>
                          <a:stretch>
                            <a:fillRect/>
                          </a:stretch>
                        </pic:blipFill>
                        <pic:spPr>
                          <a:xfrm>
                            <a:off x="0" y="0"/>
                            <a:ext cx="3238500" cy="4521200"/>
                          </a:xfrm>
                          <a:prstGeom prst="rect">
                            <a:avLst/>
                          </a:prstGeom>
                          <a:noFill/>
                          <a:ln>
                            <a:noFill/>
                          </a:ln>
                        </pic:spPr>
                      </pic:pic>
                    </a:graphicData>
                  </a:graphic>
                </wp:inline>
              </w:drawing>
            </w:r>
          </w:p>
          <w:p>
            <w:pPr>
              <w:pStyle w:val="2"/>
              <w:numPr>
                <w:ilvl w:val="0"/>
                <w:numId w:val="2"/>
              </w:numPr>
              <w:rPr>
                <w:rFonts w:hint="eastAsia"/>
                <w:lang w:val="en-US" w:eastAsia="zh-CN"/>
              </w:rPr>
            </w:pPr>
            <w:r>
              <w:rPr>
                <w:rFonts w:hint="eastAsia"/>
                <w:lang w:val="en-US" w:eastAsia="zh-CN"/>
              </w:rPr>
              <w:t>过程检验：见8.5.1审核记录，以及参见附件压力试验报告、焊缝检验报告、海南华盛项目无损检测报告-射线检测报告</w:t>
            </w:r>
          </w:p>
          <w:p>
            <w:pPr>
              <w:pStyle w:val="2"/>
              <w:numPr>
                <w:ilvl w:val="0"/>
                <w:numId w:val="0"/>
              </w:numPr>
              <w:rPr>
                <w:rFonts w:hint="default"/>
                <w:lang w:val="en-US" w:eastAsia="zh-CN"/>
              </w:rPr>
            </w:pPr>
            <w:r>
              <w:rPr>
                <w:rFonts w:hint="eastAsia"/>
                <w:lang w:val="en-US" w:eastAsia="zh-CN"/>
              </w:rPr>
              <w:t>3、成品放行：</w:t>
            </w:r>
          </w:p>
          <w:p>
            <w:pPr>
              <w:spacing w:line="380" w:lineRule="exact"/>
              <w:ind w:firstLine="421"/>
              <w:rPr>
                <w:rFonts w:ascii="宋体" w:hAnsi="宋体" w:cs="宋体"/>
                <w:b/>
                <w:bCs/>
                <w:szCs w:val="21"/>
              </w:rPr>
            </w:pPr>
            <w:r>
              <w:rPr>
                <w:rFonts w:hint="eastAsia" w:ascii="宋体" w:hAnsi="宋体" w:cs="宋体"/>
                <w:b/>
                <w:bCs/>
                <w:szCs w:val="21"/>
              </w:rPr>
              <w:t xml:space="preserve">抽1：高压撬装结构块检验报告   </w:t>
            </w:r>
            <w:r>
              <w:rPr>
                <w:rFonts w:hint="eastAsia" w:ascii="宋体" w:hAnsi="宋体" w:cs="宋体"/>
                <w:b/>
                <w:bCs/>
                <w:szCs w:val="21"/>
                <w:lang w:eastAsia="zh-CN"/>
              </w:rPr>
              <w:t>，</w:t>
            </w:r>
            <w:r>
              <w:rPr>
                <w:rFonts w:hint="eastAsia" w:ascii="宋体" w:hAnsi="宋体" w:cs="宋体"/>
                <w:b/>
                <w:bCs/>
                <w:szCs w:val="21"/>
                <w:lang w:val="en-US" w:eastAsia="zh-CN"/>
              </w:rPr>
              <w:t>见附件</w:t>
            </w:r>
            <w:r>
              <w:rPr>
                <w:rFonts w:hint="eastAsia" w:ascii="宋体" w:hAnsi="宋体" w:cs="宋体"/>
                <w:b/>
                <w:bCs/>
                <w:szCs w:val="21"/>
              </w:rPr>
              <w:t xml:space="preserve">  </w:t>
            </w:r>
            <w:r>
              <w:rPr>
                <w:rFonts w:hint="eastAsia" w:ascii="宋体" w:hAnsi="宋体" w:cs="宋体"/>
                <w:b/>
                <w:bCs/>
                <w:szCs w:val="21"/>
              </w:rPr>
              <w:tab/>
            </w:r>
          </w:p>
          <w:p>
            <w:pPr>
              <w:spacing w:line="380" w:lineRule="exact"/>
              <w:ind w:firstLine="421"/>
              <w:rPr>
                <w:rFonts w:ascii="宋体" w:hAnsi="宋体" w:cs="宋体"/>
                <w:szCs w:val="21"/>
              </w:rPr>
            </w:pPr>
            <w:r>
              <w:rPr>
                <w:rFonts w:hint="eastAsia" w:ascii="宋体" w:hAnsi="宋体" w:cs="宋体"/>
                <w:szCs w:val="21"/>
              </w:rPr>
              <w:t>1、设备底座，地脚检查</w:t>
            </w:r>
            <w:r>
              <w:rPr>
                <w:rFonts w:hint="eastAsia" w:ascii="宋体" w:hAnsi="宋体" w:cs="宋体"/>
                <w:szCs w:val="21"/>
              </w:rPr>
              <w:tab/>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 xml:space="preserve">   1）地脚螺栓长度      地脚螺栓数量       地脚螺栓螺帽垫片规格材质 </w:t>
            </w:r>
            <w:r>
              <w:rPr>
                <w:rFonts w:hint="eastAsia" w:ascii="宋体" w:hAnsi="宋体" w:cs="宋体"/>
                <w:szCs w:val="21"/>
              </w:rPr>
              <w:tab/>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 xml:space="preserve">   2）地脚孔大于地脚螺栓螺丝直径      固定滑动端符合图纸要求       大型设备地脚螺栓应配加大加厚垫片</w:t>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 xml:space="preserve">   3）地脚螺栓（螺杆）表面无油漆，无油迹，颜色标记位置位于螺柱柱体截面</w:t>
            </w:r>
            <w:r>
              <w:rPr>
                <w:rFonts w:hint="eastAsia" w:ascii="宋体" w:hAnsi="宋体" w:cs="宋体"/>
                <w:szCs w:val="21"/>
              </w:rPr>
              <w:tab/>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 xml:space="preserve">   4) 设备底座平整，每米误差5mm，总长误差10mm        5）底座开孔不能采用气割开孔，应当钻孔</w:t>
            </w:r>
            <w:r>
              <w:rPr>
                <w:rFonts w:hint="eastAsia" w:ascii="宋体" w:hAnsi="宋体" w:cs="宋体"/>
                <w:szCs w:val="21"/>
              </w:rPr>
              <w:tab/>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 xml:space="preserve">   6）底座开孔中心对角线尺寸，四孔关系为正四边形，两孔中心距按图纸，误差不超过±2mm</w:t>
            </w:r>
            <w:r>
              <w:rPr>
                <w:rFonts w:hint="eastAsia" w:ascii="宋体" w:hAnsi="宋体" w:cs="宋体"/>
                <w:szCs w:val="21"/>
              </w:rPr>
              <w:tab/>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2、撬装结构块</w:t>
            </w:r>
            <w:r>
              <w:rPr>
                <w:rFonts w:hint="eastAsia" w:ascii="宋体" w:hAnsi="宋体" w:cs="宋体"/>
                <w:szCs w:val="21"/>
              </w:rPr>
              <w:tab/>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 xml:space="preserve">   1）撬块中的基座颜色同图纸相符</w:t>
            </w:r>
            <w:r>
              <w:rPr>
                <w:rFonts w:hint="eastAsia" w:ascii="宋体" w:hAnsi="宋体" w:cs="宋体"/>
                <w:szCs w:val="21"/>
              </w:rPr>
              <w:tab/>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 xml:space="preserve">   2）撬块中的各管口定位尺寸应与图纸相符</w:t>
            </w:r>
            <w:r>
              <w:rPr>
                <w:rFonts w:hint="eastAsia" w:ascii="宋体" w:hAnsi="宋体" w:cs="宋体"/>
                <w:szCs w:val="21"/>
              </w:rPr>
              <w:tab/>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 xml:space="preserve">   3）撬块中应当有设计合理的吊耳，吊耳重心位置合理</w:t>
            </w:r>
            <w:r>
              <w:rPr>
                <w:rFonts w:hint="eastAsia" w:ascii="宋体" w:hAnsi="宋体" w:cs="宋体"/>
                <w:szCs w:val="21"/>
              </w:rPr>
              <w:tab/>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 xml:space="preserve">   4）撬块底部及背面应当满焊</w:t>
            </w:r>
            <w:r>
              <w:rPr>
                <w:rFonts w:hint="eastAsia" w:ascii="宋体" w:hAnsi="宋体" w:cs="宋体"/>
                <w:szCs w:val="21"/>
              </w:rPr>
              <w:tab/>
            </w:r>
            <w:r>
              <w:rPr>
                <w:rFonts w:hint="eastAsia" w:ascii="宋体" w:hAnsi="宋体" w:cs="宋体"/>
                <w:szCs w:val="21"/>
              </w:rPr>
              <w:tab/>
            </w:r>
            <w:r>
              <w:rPr>
                <w:rFonts w:hint="eastAsia" w:ascii="宋体" w:hAnsi="宋体" w:cs="宋体"/>
                <w:szCs w:val="21"/>
              </w:rPr>
              <w:t xml:space="preserve"> </w:t>
            </w:r>
          </w:p>
          <w:p>
            <w:pPr>
              <w:spacing w:line="380" w:lineRule="exact"/>
              <w:ind w:firstLine="421"/>
              <w:rPr>
                <w:rFonts w:ascii="宋体" w:hAnsi="宋体" w:cs="宋体"/>
                <w:szCs w:val="21"/>
              </w:rPr>
            </w:pPr>
            <w:r>
              <w:rPr>
                <w:rFonts w:hint="eastAsia" w:ascii="宋体" w:hAnsi="宋体" w:cs="宋体"/>
                <w:szCs w:val="21"/>
              </w:rPr>
              <w:t xml:space="preserve">   5）撬块中的管口标高，朝向，及法兰标准形式应与图纸相符</w:t>
            </w:r>
            <w:r>
              <w:rPr>
                <w:rFonts w:hint="eastAsia" w:ascii="宋体" w:hAnsi="宋体" w:cs="宋体"/>
                <w:szCs w:val="21"/>
              </w:rPr>
              <w:tab/>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 xml:space="preserve">   6）撬的框架与钢板材质强度及撬内支撑应合理         7）海油平台项目撬块底座应设有围堰</w:t>
            </w:r>
            <w:r>
              <w:rPr>
                <w:rFonts w:hint="eastAsia" w:ascii="宋体" w:hAnsi="宋体" w:cs="宋体"/>
                <w:szCs w:val="21"/>
              </w:rPr>
              <w:tab/>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 xml:space="preserve">   7）含集油盘的撬块应有污油排放口，排污口有防止堵塞的滤网，滤网便于拆卸         </w:t>
            </w:r>
            <w:r>
              <w:rPr>
                <w:rFonts w:hint="eastAsia" w:ascii="宋体" w:hAnsi="宋体" w:cs="宋体"/>
                <w:szCs w:val="21"/>
              </w:rPr>
              <w:tab/>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 xml:space="preserve">   8）海油项目排污口，阀门下口，法兰处应当配盲板，螺纹处配丝堵</w:t>
            </w:r>
            <w:r>
              <w:rPr>
                <w:rFonts w:hint="eastAsia" w:ascii="宋体" w:hAnsi="宋体" w:cs="宋体"/>
                <w:szCs w:val="21"/>
              </w:rPr>
              <w:tab/>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 xml:space="preserve">   9）撬块中的仪表，电气电缆、配电箱、应铺设安装完工，完工后仪表应装箱</w:t>
            </w:r>
            <w:r>
              <w:rPr>
                <w:rFonts w:hint="eastAsia" w:ascii="宋体" w:hAnsi="宋体" w:cs="宋体"/>
                <w:szCs w:val="21"/>
              </w:rPr>
              <w:tab/>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 xml:space="preserve">  10）电缆槽盒出厂前用铁丝捆扎，到达现场电气试验完毕，使用不锈钢扎带捆扎</w:t>
            </w:r>
            <w:r>
              <w:rPr>
                <w:rFonts w:hint="eastAsia" w:ascii="宋体" w:hAnsi="宋体" w:cs="宋体"/>
                <w:szCs w:val="21"/>
              </w:rPr>
              <w:tab/>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 xml:space="preserve">  11）控制柜出厂前使用铁丝或钢丝绳拉纤，防止运输中控制柜底部螺丝脱落，拉纤时不应受力与控制柜防雨帽</w:t>
            </w:r>
            <w:r>
              <w:rPr>
                <w:rFonts w:hint="eastAsia" w:ascii="宋体" w:hAnsi="宋体" w:cs="宋体"/>
                <w:szCs w:val="21"/>
              </w:rPr>
              <w:tab/>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 xml:space="preserve">  12）石油项目循环泵撬灌浆孔的位置，应保证开孔数量可以灌满一个独立撬分区，位置应不影响设备运行，便于灌浆操作</w:t>
            </w:r>
            <w:r>
              <w:rPr>
                <w:rFonts w:hint="eastAsia" w:ascii="宋体" w:hAnsi="宋体" w:cs="宋体"/>
                <w:szCs w:val="21"/>
              </w:rPr>
              <w:tab/>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 xml:space="preserve">  13）撬块出厂已保温的应有运输防撞保护措施</w:t>
            </w:r>
            <w:r>
              <w:rPr>
                <w:rFonts w:hint="eastAsia" w:ascii="宋体" w:hAnsi="宋体" w:cs="宋体"/>
                <w:szCs w:val="21"/>
              </w:rPr>
              <w:tab/>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 xml:space="preserve">  14）撬块中管线及保温完毕管线应当标示介质流向</w:t>
            </w:r>
            <w:r>
              <w:rPr>
                <w:rFonts w:hint="eastAsia" w:ascii="宋体" w:hAnsi="宋体" w:cs="宋体"/>
                <w:szCs w:val="21"/>
              </w:rPr>
              <w:tab/>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 xml:space="preserve">  15）撬块设备设计相应的接地螺柱螺母          </w:t>
            </w:r>
            <w:r>
              <w:rPr>
                <w:rFonts w:hint="eastAsia" w:ascii="宋体" w:hAnsi="宋体" w:cs="宋体"/>
                <w:szCs w:val="21"/>
              </w:rPr>
              <w:tab/>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 xml:space="preserve">  16）海油项目法兰跨接线，螺丝采用M6x20，材质不锈钢，打一个圈，使用6平方地线</w:t>
            </w:r>
            <w:r>
              <w:rPr>
                <w:rFonts w:hint="eastAsia" w:ascii="宋体" w:hAnsi="宋体" w:cs="宋体"/>
                <w:szCs w:val="21"/>
              </w:rPr>
              <w:tab/>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 xml:space="preserve">  17）石油项目使用16平方地线在法兰螺栓跨接，法兰螺栓数量低于5个时，需要使用地线跨接        </w:t>
            </w:r>
            <w:r>
              <w:rPr>
                <w:rFonts w:hint="eastAsia" w:ascii="宋体" w:hAnsi="宋体" w:cs="宋体"/>
                <w:szCs w:val="21"/>
              </w:rPr>
              <w:tab/>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 xml:space="preserve">  18）同一批次时，各部位一致性应相同</w:t>
            </w:r>
            <w:r>
              <w:rPr>
                <w:rFonts w:hint="eastAsia" w:ascii="宋体" w:hAnsi="宋体" w:cs="宋体"/>
                <w:szCs w:val="21"/>
              </w:rPr>
              <w:tab/>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4、保温、防腐</w:t>
            </w:r>
            <w:r>
              <w:rPr>
                <w:rFonts w:hint="eastAsia" w:ascii="宋体" w:hAnsi="宋体" w:cs="宋体"/>
                <w:szCs w:val="21"/>
              </w:rPr>
              <w:tab/>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 xml:space="preserve">   1）保温材质及保温层外的保护层应符合合同要求，同时保护层有阻燃防水性能</w:t>
            </w:r>
            <w:r>
              <w:rPr>
                <w:rFonts w:hint="eastAsia" w:ascii="宋体" w:hAnsi="宋体" w:cs="宋体"/>
                <w:szCs w:val="21"/>
              </w:rPr>
              <w:tab/>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 xml:space="preserve">   2）外保护板之间的连接应为搭接，搭接长度不应小于20mm，搭接处应采用钢板条压紧，以防雨水渗入</w:t>
            </w:r>
            <w:r>
              <w:rPr>
                <w:rFonts w:hint="eastAsia" w:ascii="宋体" w:hAnsi="宋体" w:cs="宋体"/>
                <w:szCs w:val="21"/>
              </w:rPr>
              <w:tab/>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 xml:space="preserve">   3）外保温螺钉、铆钉间距不宜大于200mm           4）不锈钢外保温保护膜出厂全部撕掉</w:t>
            </w:r>
            <w:r>
              <w:rPr>
                <w:rFonts w:hint="eastAsia" w:ascii="宋体" w:hAnsi="宋体" w:cs="宋体"/>
                <w:szCs w:val="21"/>
              </w:rPr>
              <w:tab/>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 xml:space="preserve">   5）外保温皮，连接处应用玻璃胶密封填充，水流自上搭接口流至下层</w:t>
            </w:r>
            <w:r>
              <w:rPr>
                <w:rFonts w:hint="eastAsia" w:ascii="宋体" w:hAnsi="宋体" w:cs="宋体"/>
                <w:szCs w:val="21"/>
              </w:rPr>
              <w:tab/>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 xml:space="preserve">   6）不锈钢保护层时，铆钉或保温钉材质应为不锈钢。优先使用铆钉</w:t>
            </w:r>
            <w:r>
              <w:rPr>
                <w:rFonts w:hint="eastAsia" w:ascii="宋体" w:hAnsi="宋体" w:cs="宋体"/>
                <w:szCs w:val="21"/>
              </w:rPr>
              <w:tab/>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5、法兰、垫片、螺栓</w:t>
            </w:r>
            <w:r>
              <w:rPr>
                <w:rFonts w:hint="eastAsia" w:ascii="宋体" w:hAnsi="宋体" w:cs="宋体"/>
                <w:szCs w:val="21"/>
              </w:rPr>
              <w:tab/>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 xml:space="preserve">   1)发货区的所有非配对垫片、法兰、螺栓、石棉绳打木包装成为一件箱      </w:t>
            </w:r>
          </w:p>
          <w:p>
            <w:pPr>
              <w:spacing w:line="380" w:lineRule="exact"/>
              <w:ind w:firstLine="421"/>
              <w:rPr>
                <w:rFonts w:ascii="宋体" w:hAnsi="宋体" w:cs="宋体"/>
                <w:szCs w:val="21"/>
              </w:rPr>
            </w:pPr>
            <w:r>
              <w:rPr>
                <w:rFonts w:hint="eastAsia" w:ascii="宋体" w:hAnsi="宋体" w:cs="宋体"/>
                <w:szCs w:val="21"/>
              </w:rPr>
              <w:t xml:space="preserve">  螺栓数量按套计算，按套成箱</w:t>
            </w:r>
            <w:r>
              <w:rPr>
                <w:rFonts w:hint="eastAsia" w:ascii="宋体" w:hAnsi="宋体" w:cs="宋体"/>
                <w:szCs w:val="21"/>
              </w:rPr>
              <w:tab/>
            </w:r>
            <w:r>
              <w:rPr>
                <w:rFonts w:hint="eastAsia" w:ascii="宋体" w:hAnsi="宋体" w:cs="宋体"/>
                <w:szCs w:val="21"/>
              </w:rPr>
              <w:tab/>
            </w:r>
            <w:r>
              <w:rPr>
                <w:rFonts w:hint="eastAsia" w:ascii="宋体" w:hAnsi="宋体" w:cs="宋体"/>
                <w:szCs w:val="21"/>
              </w:rPr>
              <w:t xml:space="preserve">    </w:t>
            </w:r>
          </w:p>
          <w:p>
            <w:pPr>
              <w:spacing w:line="380" w:lineRule="exact"/>
              <w:ind w:firstLine="421"/>
              <w:rPr>
                <w:rFonts w:ascii="宋体" w:hAnsi="宋体" w:cs="宋体"/>
                <w:szCs w:val="21"/>
              </w:rPr>
            </w:pPr>
            <w:r>
              <w:rPr>
                <w:rFonts w:hint="eastAsia" w:ascii="宋体" w:hAnsi="宋体" w:cs="宋体"/>
                <w:szCs w:val="21"/>
              </w:rPr>
              <w:t xml:space="preserve">  箱内每一类螺栓应当用袋、筒，箱分类包装或区分        </w:t>
            </w:r>
          </w:p>
          <w:p>
            <w:pPr>
              <w:spacing w:line="380" w:lineRule="exact"/>
              <w:ind w:firstLine="421"/>
              <w:rPr>
                <w:rFonts w:ascii="宋体" w:hAnsi="宋体" w:cs="宋体"/>
                <w:szCs w:val="21"/>
              </w:rPr>
            </w:pPr>
            <w:r>
              <w:rPr>
                <w:rFonts w:hint="eastAsia" w:ascii="宋体" w:hAnsi="宋体" w:cs="宋体"/>
                <w:szCs w:val="21"/>
              </w:rPr>
              <w:t xml:space="preserve">     包装袋上写有规格型号并与发货清单相符</w:t>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 xml:space="preserve">   2）锅炉及仪表的配对法兰、垫片、所有螺栓应配套齐全，安装完毕     </w:t>
            </w:r>
          </w:p>
          <w:p>
            <w:pPr>
              <w:spacing w:line="380" w:lineRule="exact"/>
              <w:ind w:firstLine="421"/>
              <w:rPr>
                <w:rFonts w:ascii="宋体" w:hAnsi="宋体" w:cs="宋体"/>
                <w:szCs w:val="21"/>
              </w:rPr>
            </w:pPr>
            <w:r>
              <w:rPr>
                <w:rFonts w:hint="eastAsia" w:ascii="宋体" w:hAnsi="宋体" w:cs="宋体"/>
                <w:szCs w:val="21"/>
              </w:rPr>
              <w:t xml:space="preserve">  3） 系统所有螺栓、螺母至少应提供5%的备用量</w:t>
            </w:r>
            <w:r>
              <w:rPr>
                <w:rFonts w:hint="eastAsia" w:ascii="宋体" w:hAnsi="宋体" w:cs="宋体"/>
                <w:szCs w:val="21"/>
              </w:rPr>
              <w:tab/>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 xml:space="preserve">   4）供货清单中应当包含螺栓、法兰、垫片、石棉绳，备用漆的清单     </w:t>
            </w:r>
          </w:p>
          <w:p>
            <w:pPr>
              <w:spacing w:line="380" w:lineRule="exact"/>
              <w:ind w:firstLine="421"/>
              <w:rPr>
                <w:rFonts w:ascii="宋体" w:hAnsi="宋体" w:cs="宋体"/>
                <w:szCs w:val="21"/>
              </w:rPr>
            </w:pPr>
            <w:r>
              <w:rPr>
                <w:rFonts w:hint="eastAsia" w:ascii="宋体" w:hAnsi="宋体" w:cs="宋体"/>
                <w:szCs w:val="21"/>
              </w:rPr>
              <w:t xml:space="preserve">  5）检查已安装螺栓长度，过长过短要更换</w:t>
            </w:r>
            <w:r>
              <w:rPr>
                <w:rFonts w:hint="eastAsia" w:ascii="宋体" w:hAnsi="宋体" w:cs="宋体"/>
                <w:szCs w:val="21"/>
              </w:rPr>
              <w:tab/>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 xml:space="preserve">   6）紧固件中，单头螺栓，双头螺栓，都安装垫片       </w:t>
            </w:r>
          </w:p>
          <w:p>
            <w:pPr>
              <w:spacing w:line="380" w:lineRule="exact"/>
              <w:ind w:firstLine="421"/>
              <w:rPr>
                <w:rFonts w:ascii="宋体" w:hAnsi="宋体" w:cs="宋体"/>
                <w:szCs w:val="21"/>
              </w:rPr>
            </w:pPr>
            <w:r>
              <w:rPr>
                <w:rFonts w:hint="eastAsia" w:ascii="宋体" w:hAnsi="宋体" w:cs="宋体"/>
                <w:szCs w:val="21"/>
              </w:rPr>
              <w:t xml:space="preserve">  7）35CrMo螺栓在螺栓和螺母上有标识；8.8级螺栓螺母上有标示</w:t>
            </w:r>
            <w:r>
              <w:rPr>
                <w:rFonts w:hint="eastAsia" w:ascii="宋体" w:hAnsi="宋体" w:cs="宋体"/>
                <w:szCs w:val="21"/>
              </w:rPr>
              <w:tab/>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6、铭牌、包装运输、随机（设备）资料、</w:t>
            </w:r>
            <w:r>
              <w:rPr>
                <w:rFonts w:hint="eastAsia" w:ascii="宋体" w:hAnsi="宋体" w:cs="宋体"/>
                <w:szCs w:val="21"/>
              </w:rPr>
              <w:tab/>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 xml:space="preserve">   1）铭牌及铭牌支架的内容、材质、位置要经过采购方认可     </w:t>
            </w:r>
          </w:p>
          <w:p>
            <w:pPr>
              <w:spacing w:line="380" w:lineRule="exact"/>
              <w:ind w:firstLine="421"/>
              <w:rPr>
                <w:rFonts w:ascii="宋体" w:hAnsi="宋体" w:cs="宋体"/>
                <w:szCs w:val="21"/>
              </w:rPr>
            </w:pPr>
            <w:r>
              <w:rPr>
                <w:rFonts w:hint="eastAsia" w:ascii="宋体" w:hAnsi="宋体" w:cs="宋体"/>
                <w:szCs w:val="21"/>
              </w:rPr>
              <w:t xml:space="preserve">   2）成箱的货物，箱内应有防淋雨的包装与措施</w:t>
            </w:r>
            <w:r>
              <w:rPr>
                <w:rFonts w:hint="eastAsia" w:ascii="宋体" w:hAnsi="宋体" w:cs="宋体"/>
                <w:szCs w:val="21"/>
              </w:rPr>
              <w:tab/>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 xml:space="preserve">   3)设备、附件的法兰口，应有防护盖，纤维板、塑料薄膜，包扎封闭；仪表口应当有丝堵等防雨防堵措施</w:t>
            </w:r>
            <w:r>
              <w:rPr>
                <w:rFonts w:hint="eastAsia" w:ascii="宋体" w:hAnsi="宋体" w:cs="宋体"/>
                <w:szCs w:val="21"/>
              </w:rPr>
              <w:tab/>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 xml:space="preserve">   4）裸发的货物，应当使用薄膜塑料包装   </w:t>
            </w:r>
          </w:p>
          <w:p>
            <w:pPr>
              <w:spacing w:line="380" w:lineRule="exact"/>
              <w:ind w:firstLine="421"/>
              <w:rPr>
                <w:rFonts w:ascii="宋体" w:hAnsi="宋体" w:cs="宋体"/>
                <w:szCs w:val="21"/>
              </w:rPr>
            </w:pPr>
            <w:r>
              <w:rPr>
                <w:rFonts w:hint="eastAsia" w:ascii="宋体" w:hAnsi="宋体" w:cs="宋体"/>
                <w:szCs w:val="21"/>
              </w:rPr>
              <w:t xml:space="preserve">   5）出口项目设备撬块、附件的法兰口，烟道口，防护材料等级升高，统一标准</w:t>
            </w:r>
            <w:r>
              <w:rPr>
                <w:rFonts w:hint="eastAsia" w:ascii="宋体" w:hAnsi="宋体" w:cs="宋体"/>
                <w:szCs w:val="21"/>
              </w:rPr>
              <w:tab/>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 xml:space="preserve">   6）说明书、合格证、监检等资料，应统一发往公司总部     </w:t>
            </w:r>
          </w:p>
          <w:p>
            <w:pPr>
              <w:spacing w:line="380" w:lineRule="exact"/>
              <w:ind w:firstLine="421"/>
              <w:rPr>
                <w:rFonts w:ascii="宋体" w:hAnsi="宋体" w:cs="宋体"/>
                <w:szCs w:val="21"/>
              </w:rPr>
            </w:pPr>
            <w:r>
              <w:rPr>
                <w:rFonts w:hint="eastAsia" w:ascii="宋体" w:hAnsi="宋体" w:cs="宋体"/>
                <w:szCs w:val="21"/>
              </w:rPr>
              <w:t xml:space="preserve">     7）设备应有明显的起吊、防雨，防倾，重心、易碎等标志</w:t>
            </w:r>
            <w:r>
              <w:rPr>
                <w:rFonts w:hint="eastAsia" w:ascii="宋体" w:hAnsi="宋体" w:cs="宋体"/>
                <w:szCs w:val="21"/>
              </w:rPr>
              <w:tab/>
            </w:r>
          </w:p>
          <w:p>
            <w:pPr>
              <w:spacing w:line="380" w:lineRule="exact"/>
              <w:ind w:firstLine="421"/>
              <w:rPr>
                <w:rFonts w:ascii="宋体" w:hAnsi="宋体" w:cs="宋体"/>
                <w:szCs w:val="21"/>
              </w:rPr>
            </w:pPr>
            <w:r>
              <w:rPr>
                <w:rFonts w:hint="eastAsia" w:ascii="宋体" w:hAnsi="宋体" w:cs="宋体"/>
                <w:szCs w:val="21"/>
              </w:rPr>
              <w:t xml:space="preserve">  制造方：森展节能设备制造（香河）有限公司</w:t>
            </w:r>
            <w:r>
              <w:rPr>
                <w:rFonts w:hint="eastAsia" w:ascii="宋体" w:hAnsi="宋体" w:cs="宋体"/>
                <w:szCs w:val="21"/>
              </w:rPr>
              <w:tab/>
            </w:r>
            <w:r>
              <w:rPr>
                <w:rFonts w:hint="eastAsia" w:ascii="宋体" w:hAnsi="宋体" w:cs="宋体"/>
                <w:szCs w:val="21"/>
              </w:rPr>
              <w:tab/>
            </w:r>
          </w:p>
          <w:p>
            <w:r>
              <w:rPr>
                <w:rFonts w:hint="eastAsia" w:ascii="宋体" w:hAnsi="宋体" w:cs="宋体"/>
                <w:szCs w:val="21"/>
              </w:rPr>
              <w:t xml:space="preserve">    </w:t>
            </w:r>
          </w:p>
          <w:p>
            <w:pPr>
              <w:pStyle w:val="2"/>
            </w:pPr>
          </w:p>
          <w:p>
            <w:pPr>
              <w:pStyle w:val="2"/>
            </w:pPr>
          </w:p>
          <w:p>
            <w:pPr>
              <w:spacing w:line="380" w:lineRule="exact"/>
              <w:ind w:firstLine="421"/>
              <w:rPr>
                <w:rFonts w:ascii="宋体" w:hAnsi="宋体" w:cs="宋体"/>
                <w:szCs w:val="21"/>
              </w:rPr>
            </w:pPr>
            <w:r>
              <w:rPr>
                <w:rFonts w:hint="eastAsia" w:ascii="宋体" w:hAnsi="宋体" w:cs="宋体"/>
                <w:szCs w:val="21"/>
              </w:rPr>
              <w:t xml:space="preserve">                                                  </w:t>
            </w:r>
            <w:r>
              <w:rPr>
                <w:rFonts w:hint="eastAsia" w:ascii="宋体" w:hAnsi="宋体" w:cs="宋体"/>
                <w:szCs w:val="21"/>
              </w:rPr>
              <w:tab/>
            </w:r>
          </w:p>
        </w:tc>
        <w:tc>
          <w:tcPr>
            <w:tcW w:w="760" w:type="dxa"/>
          </w:tcPr>
          <w:p>
            <w:pPr>
              <w:spacing w:line="38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707" w:type="dxa"/>
          </w:tcPr>
          <w:p>
            <w:pPr>
              <w:spacing w:line="380" w:lineRule="exact"/>
              <w:rPr>
                <w:bCs/>
                <w:szCs w:val="21"/>
              </w:rPr>
            </w:pPr>
            <w:r>
              <w:rPr>
                <w:rFonts w:hint="eastAsia"/>
                <w:bCs/>
                <w:szCs w:val="21"/>
              </w:rPr>
              <w:t>环境因素</w:t>
            </w:r>
          </w:p>
          <w:p>
            <w:pPr>
              <w:spacing w:line="380" w:lineRule="exact"/>
              <w:rPr>
                <w:bCs/>
                <w:szCs w:val="21"/>
              </w:rPr>
            </w:pPr>
            <w:r>
              <w:rPr>
                <w:rFonts w:hint="eastAsia"/>
                <w:bCs/>
                <w:szCs w:val="21"/>
              </w:rPr>
              <w:t>危险源</w:t>
            </w:r>
          </w:p>
        </w:tc>
        <w:tc>
          <w:tcPr>
            <w:tcW w:w="1019" w:type="dxa"/>
          </w:tcPr>
          <w:p>
            <w:pPr>
              <w:spacing w:line="380" w:lineRule="exact"/>
              <w:rPr>
                <w:bCs/>
                <w:szCs w:val="21"/>
              </w:rPr>
            </w:pPr>
            <w:r>
              <w:rPr>
                <w:rFonts w:hint="eastAsia"/>
                <w:bCs/>
                <w:szCs w:val="21"/>
              </w:rPr>
              <w:t>E</w:t>
            </w:r>
            <w:r>
              <w:rPr>
                <w:rFonts w:hint="eastAsia"/>
                <w:bCs/>
                <w:szCs w:val="21"/>
                <w:lang w:val="en-US" w:eastAsia="zh-CN"/>
              </w:rPr>
              <w:t>S</w:t>
            </w:r>
            <w:r>
              <w:rPr>
                <w:rFonts w:hint="eastAsia"/>
                <w:bCs/>
                <w:szCs w:val="21"/>
              </w:rPr>
              <w:t>6.1.2</w:t>
            </w:r>
          </w:p>
          <w:p>
            <w:pPr>
              <w:spacing w:line="380" w:lineRule="exact"/>
              <w:rPr>
                <w:bCs/>
                <w:szCs w:val="21"/>
              </w:rPr>
            </w:pPr>
          </w:p>
        </w:tc>
        <w:tc>
          <w:tcPr>
            <w:tcW w:w="11223" w:type="dxa"/>
          </w:tcPr>
          <w:p>
            <w:pPr>
              <w:spacing w:line="380" w:lineRule="exact"/>
              <w:ind w:firstLine="420" w:firstLineChars="200"/>
              <w:rPr>
                <w:rFonts w:ascii="宋体" w:hAnsi="宋体" w:cs="宋体"/>
                <w:szCs w:val="21"/>
              </w:rPr>
            </w:pPr>
            <w:r>
              <w:rPr>
                <w:rFonts w:hint="eastAsia" w:ascii="宋体" w:hAnsi="宋体" w:cs="宋体"/>
                <w:szCs w:val="21"/>
              </w:rPr>
              <w:t>编制了《环境因素识别与评价控过程序》，采用是非判断法，规定重大环境因素评定。</w:t>
            </w:r>
          </w:p>
          <w:p>
            <w:pPr>
              <w:spacing w:line="380" w:lineRule="exact"/>
              <w:ind w:firstLine="420" w:firstLineChars="200"/>
              <w:rPr>
                <w:rFonts w:ascii="宋体" w:hAnsi="宋体" w:cs="宋体"/>
                <w:szCs w:val="21"/>
              </w:rPr>
            </w:pPr>
            <w:r>
              <w:rPr>
                <w:rFonts w:hint="eastAsia" w:ascii="宋体" w:hAnsi="宋体" w:cs="宋体"/>
                <w:szCs w:val="21"/>
              </w:rPr>
              <w:t>提供《环境因素识别评价表》对生产和办公活动生命周期全过程分别进行排查，考虑了大气污染、噪声污染、土壤污染、水污染、废弃物污染、能源和资源消耗、火灾等方面；从过去、现在、将来三种时态；正常、异常和紧急三种。</w:t>
            </w:r>
          </w:p>
          <w:p>
            <w:pPr>
              <w:spacing w:line="380" w:lineRule="exact"/>
              <w:ind w:firstLine="420" w:firstLineChars="200"/>
              <w:rPr>
                <w:rFonts w:ascii="宋体" w:hAnsi="宋体" w:cs="宋体"/>
                <w:szCs w:val="21"/>
              </w:rPr>
            </w:pPr>
            <w:r>
              <w:rPr>
                <w:rFonts w:hint="eastAsia" w:ascii="宋体" w:hAnsi="宋体" w:cs="宋体"/>
                <w:szCs w:val="21"/>
              </w:rPr>
              <w:t>J检验过程中的环境因素，除了本身在检验过程中的环境因素外，公司也识别了能够施加影响的供方和客户的环境因素。另外，在采购产品的使用寿命结束后处理和最终处置相关的潜在重大环境影响。本部门识别的各区域环境因素有：废气粉尘、废水排放、噪声排放、固体废弃物排放、潜在火灾、水电能源消耗等。重要环境因素经按影响程度识别有：火灾。</w:t>
            </w:r>
          </w:p>
          <w:p>
            <w:pPr>
              <w:spacing w:line="380" w:lineRule="exact"/>
              <w:ind w:firstLine="420" w:firstLineChars="200"/>
              <w:rPr>
                <w:rFonts w:ascii="宋体" w:hAnsi="宋体" w:cs="宋体"/>
                <w:szCs w:val="21"/>
              </w:rPr>
            </w:pPr>
            <w:r>
              <w:rPr>
                <w:rFonts w:hint="eastAsia" w:ascii="宋体" w:hAnsi="宋体" w:cs="宋体"/>
                <w:szCs w:val="21"/>
              </w:rPr>
              <w:t>环境因素识别经核实基本齐全。</w:t>
            </w:r>
          </w:p>
          <w:p>
            <w:pPr>
              <w:spacing w:line="380" w:lineRule="exact"/>
              <w:ind w:firstLine="420" w:firstLineChars="200"/>
              <w:rPr>
                <w:rFonts w:ascii="宋体" w:hAnsi="宋体" w:cs="宋体"/>
                <w:szCs w:val="21"/>
              </w:rPr>
            </w:pPr>
            <w:r>
              <w:rPr>
                <w:rFonts w:hint="eastAsia" w:ascii="宋体" w:hAnsi="宋体" w:cs="宋体"/>
                <w:szCs w:val="21"/>
              </w:rPr>
              <w:t>编制了《危险源辨识和风险评价程序》，采用危险源级别判定标准，规定不可接受风险判定。</w:t>
            </w:r>
          </w:p>
          <w:p>
            <w:pPr>
              <w:spacing w:line="380" w:lineRule="exact"/>
              <w:ind w:firstLine="420" w:firstLineChars="200"/>
              <w:rPr>
                <w:rFonts w:ascii="宋体" w:hAnsi="宋体" w:cs="宋体"/>
                <w:szCs w:val="21"/>
              </w:rPr>
            </w:pPr>
            <w:r>
              <w:rPr>
                <w:rFonts w:hint="eastAsia" w:ascii="宋体" w:hAnsi="宋体" w:cs="宋体"/>
                <w:szCs w:val="21"/>
              </w:rPr>
              <w:t>提供《危险源辨识和风险评价表》对生产生产各过程和办公活动分别进行辨识，考虑了触电、职业病伤害、意外伤害、火灾等方面；从过去、现在、将来三种时态；正常、异常和紧急三种状态识别危险源。</w:t>
            </w:r>
          </w:p>
          <w:p>
            <w:pPr>
              <w:spacing w:line="380" w:lineRule="exact"/>
              <w:ind w:firstLine="420" w:firstLineChars="200"/>
              <w:rPr>
                <w:rFonts w:ascii="宋体" w:hAnsi="宋体" w:cs="宋体"/>
                <w:szCs w:val="21"/>
              </w:rPr>
            </w:pPr>
            <w:r>
              <w:rPr>
                <w:rFonts w:hint="eastAsia" w:ascii="宋体" w:hAnsi="宋体" w:cs="宋体"/>
                <w:szCs w:val="21"/>
              </w:rPr>
              <w:t>本部门识别的各区域危险源有：触电、意外伤害、职业病、火灾、交通事故等。不可接受风险识别有：火灾、意外伤害。</w:t>
            </w:r>
          </w:p>
          <w:p>
            <w:pPr>
              <w:spacing w:line="380" w:lineRule="exact"/>
              <w:ind w:firstLine="420" w:firstLineChars="200"/>
              <w:rPr>
                <w:rFonts w:ascii="宋体" w:hAnsi="宋体" w:cs="宋体"/>
                <w:szCs w:val="21"/>
              </w:rPr>
            </w:pPr>
            <w:r>
              <w:rPr>
                <w:rFonts w:hint="eastAsia" w:ascii="宋体" w:hAnsi="宋体" w:cs="宋体"/>
                <w:szCs w:val="21"/>
              </w:rPr>
              <w:t>危险源识别经核实基本齐全。</w:t>
            </w:r>
          </w:p>
        </w:tc>
        <w:tc>
          <w:tcPr>
            <w:tcW w:w="760" w:type="dxa"/>
          </w:tcPr>
          <w:p>
            <w:pPr>
              <w:spacing w:line="38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707" w:type="dxa"/>
          </w:tcPr>
          <w:p>
            <w:pPr>
              <w:spacing w:line="380" w:lineRule="exact"/>
              <w:rPr>
                <w:rFonts w:ascii="宋体" w:hAnsi="宋体" w:cs="宋体"/>
                <w:szCs w:val="21"/>
              </w:rPr>
            </w:pPr>
            <w:r>
              <w:rPr>
                <w:rFonts w:hint="eastAsia"/>
                <w:bCs/>
                <w:szCs w:val="21"/>
              </w:rPr>
              <w:t>运行控制</w:t>
            </w:r>
          </w:p>
        </w:tc>
        <w:tc>
          <w:tcPr>
            <w:tcW w:w="1019" w:type="dxa"/>
          </w:tcPr>
          <w:p>
            <w:pPr>
              <w:spacing w:line="380" w:lineRule="exact"/>
              <w:rPr>
                <w:bCs/>
                <w:szCs w:val="21"/>
              </w:rPr>
            </w:pPr>
            <w:r>
              <w:rPr>
                <w:rFonts w:hint="eastAsia"/>
                <w:bCs/>
                <w:szCs w:val="21"/>
              </w:rPr>
              <w:t>E</w:t>
            </w:r>
            <w:r>
              <w:rPr>
                <w:rFonts w:hint="eastAsia"/>
                <w:bCs/>
                <w:szCs w:val="21"/>
                <w:lang w:val="en-US" w:eastAsia="zh-CN"/>
              </w:rPr>
              <w:t>S</w:t>
            </w:r>
            <w:r>
              <w:rPr>
                <w:rFonts w:hint="eastAsia"/>
                <w:bCs/>
                <w:szCs w:val="21"/>
              </w:rPr>
              <w:t>8.1</w:t>
            </w:r>
          </w:p>
          <w:p>
            <w:pPr>
              <w:spacing w:line="380" w:lineRule="exact"/>
              <w:rPr>
                <w:rFonts w:ascii="宋体" w:hAnsi="宋体" w:cs="宋体"/>
                <w:color w:val="000000"/>
                <w:szCs w:val="21"/>
              </w:rPr>
            </w:pPr>
          </w:p>
        </w:tc>
        <w:tc>
          <w:tcPr>
            <w:tcW w:w="11223" w:type="dxa"/>
          </w:tcPr>
          <w:p>
            <w:pPr>
              <w:spacing w:line="380" w:lineRule="exact"/>
              <w:ind w:firstLine="420" w:firstLineChars="200"/>
              <w:rPr>
                <w:rFonts w:ascii="宋体" w:hAnsi="宋体" w:cs="宋体"/>
                <w:szCs w:val="21"/>
              </w:rPr>
            </w:pPr>
            <w:r>
              <w:rPr>
                <w:rFonts w:hint="eastAsia" w:ascii="宋体" w:hAnsi="宋体" w:cs="宋体"/>
                <w:szCs w:val="21"/>
              </w:rPr>
              <w:t>编制与环境、安全体系运行控制有关的文件有《环境运行控制程序》、《职业健康安全运行控制程序》、《相关方管理程序》等。</w:t>
            </w:r>
          </w:p>
          <w:p>
            <w:pPr>
              <w:spacing w:line="380" w:lineRule="exact"/>
              <w:ind w:firstLine="420" w:firstLineChars="200"/>
              <w:rPr>
                <w:rFonts w:ascii="宋体" w:hAnsi="宋体" w:cs="宋体"/>
                <w:szCs w:val="21"/>
              </w:rPr>
            </w:pPr>
            <w:r>
              <w:rPr>
                <w:rFonts w:hint="eastAsia" w:ascii="宋体" w:hAnsi="宋体" w:cs="宋体"/>
                <w:szCs w:val="21"/>
              </w:rPr>
              <w:t>现场查见：</w:t>
            </w:r>
          </w:p>
          <w:p>
            <w:pPr>
              <w:spacing w:line="380" w:lineRule="exact"/>
              <w:ind w:firstLine="420" w:firstLineChars="200"/>
              <w:rPr>
                <w:rFonts w:ascii="宋体" w:hAnsi="宋体" w:cs="宋体"/>
                <w:szCs w:val="21"/>
              </w:rPr>
            </w:pPr>
            <w:r>
              <w:rPr>
                <w:rFonts w:hint="eastAsia" w:ascii="宋体" w:hAnsi="宋体" w:cs="宋体"/>
                <w:szCs w:val="21"/>
              </w:rPr>
              <w:t>废水管控：检验过程无废水废液产生。生活污水排放政府污水管网统一集中处理。</w:t>
            </w:r>
          </w:p>
          <w:p>
            <w:pPr>
              <w:spacing w:line="380" w:lineRule="exact"/>
              <w:ind w:firstLine="420" w:firstLineChars="200"/>
              <w:rPr>
                <w:rFonts w:ascii="宋体" w:hAnsi="宋体" w:cs="宋体"/>
                <w:szCs w:val="21"/>
              </w:rPr>
            </w:pPr>
            <w:r>
              <w:rPr>
                <w:rFonts w:hint="eastAsia" w:ascii="宋体" w:hAnsi="宋体" w:cs="宋体"/>
                <w:szCs w:val="21"/>
              </w:rPr>
              <w:t>废气管控：检验过程无废气产生。</w:t>
            </w:r>
          </w:p>
          <w:p>
            <w:pPr>
              <w:spacing w:line="380" w:lineRule="exact"/>
              <w:ind w:firstLine="420" w:firstLineChars="200"/>
              <w:rPr>
                <w:rFonts w:ascii="宋体" w:hAnsi="宋体" w:cs="宋体"/>
                <w:szCs w:val="21"/>
              </w:rPr>
            </w:pPr>
            <w:r>
              <w:rPr>
                <w:rFonts w:hint="eastAsia" w:ascii="宋体" w:hAnsi="宋体" w:cs="宋体"/>
                <w:szCs w:val="21"/>
              </w:rPr>
              <w:t>噪声管控：检验过程选用了低噪声的设备和工具，同时在厂房内生产，加强设备的检查和维保，确保机械设备在正常工况下运行，周围无环境敏感点。</w:t>
            </w:r>
          </w:p>
          <w:p>
            <w:pPr>
              <w:spacing w:line="380" w:lineRule="exact"/>
              <w:ind w:firstLine="420" w:firstLineChars="200"/>
              <w:rPr>
                <w:rFonts w:ascii="宋体" w:hAnsi="宋体" w:cs="宋体"/>
                <w:szCs w:val="21"/>
              </w:rPr>
            </w:pPr>
            <w:r>
              <w:rPr>
                <w:rFonts w:hint="eastAsia" w:ascii="宋体" w:hAnsi="宋体" w:cs="宋体"/>
                <w:szCs w:val="21"/>
              </w:rPr>
              <w:t>固废管控：检验过程中主要为拆包装袋，质检部将以上固废放置公司固定位置，积攒一定量后出售有处理能力的单位回收再利用；</w:t>
            </w:r>
          </w:p>
          <w:p>
            <w:pPr>
              <w:spacing w:line="380" w:lineRule="exact"/>
              <w:ind w:firstLine="420" w:firstLineChars="200"/>
              <w:rPr>
                <w:rFonts w:ascii="宋体" w:hAnsi="宋体" w:cs="宋体"/>
                <w:szCs w:val="21"/>
              </w:rPr>
            </w:pPr>
            <w:r>
              <w:rPr>
                <w:rFonts w:hint="eastAsia" w:ascii="宋体" w:hAnsi="宋体" w:cs="宋体"/>
                <w:szCs w:val="21"/>
              </w:rPr>
              <w:t>资、能源管控：能源、资源消耗控制：在检验过程中合理安排避免无序、重复检验；现场杜绝用水跑冒滴漏，采用节水阀门和节能灯等节能设备。</w:t>
            </w:r>
          </w:p>
          <w:p>
            <w:pPr>
              <w:spacing w:line="380" w:lineRule="exact"/>
              <w:ind w:firstLine="420" w:firstLineChars="200"/>
              <w:rPr>
                <w:rFonts w:ascii="宋体" w:hAnsi="宋体" w:cs="宋体"/>
                <w:szCs w:val="21"/>
              </w:rPr>
            </w:pPr>
            <w:r>
              <w:rPr>
                <w:rFonts w:hint="eastAsia" w:ascii="宋体" w:hAnsi="宋体" w:cs="宋体"/>
                <w:szCs w:val="21"/>
              </w:rPr>
              <w:t>产品周期的环境管控</w:t>
            </w:r>
          </w:p>
          <w:p>
            <w:pPr>
              <w:spacing w:line="380" w:lineRule="exact"/>
              <w:ind w:firstLine="420" w:firstLineChars="200"/>
              <w:rPr>
                <w:rFonts w:ascii="宋体" w:hAnsi="宋体" w:cs="宋体"/>
                <w:szCs w:val="21"/>
              </w:rPr>
            </w:pPr>
            <w:r>
              <w:rPr>
                <w:rFonts w:hint="eastAsia" w:ascii="宋体" w:hAnsi="宋体" w:cs="宋体"/>
                <w:szCs w:val="21"/>
              </w:rPr>
              <w:t>公司从采用产品时已考虑了产品的环保性（包括其包装），生产过程中，严格按照环保等管理制度实施，控制好辅助材料的计量，避免浪费。</w:t>
            </w:r>
          </w:p>
          <w:p>
            <w:pPr>
              <w:spacing w:line="380" w:lineRule="exact"/>
              <w:ind w:firstLine="420" w:firstLineChars="200"/>
              <w:rPr>
                <w:rFonts w:ascii="宋体" w:hAnsi="宋体" w:cs="宋体"/>
                <w:szCs w:val="21"/>
              </w:rPr>
            </w:pPr>
            <w:r>
              <w:rPr>
                <w:rFonts w:hint="eastAsia" w:ascii="宋体" w:hAnsi="宋体" w:cs="宋体"/>
                <w:szCs w:val="21"/>
              </w:rPr>
              <w:t>潜在火灾管控：办公区域配有消防栓、灭火器，均在有效期内，经了解未发生过触电和火灾事故。</w:t>
            </w:r>
          </w:p>
          <w:p>
            <w:pPr>
              <w:spacing w:line="380" w:lineRule="exact"/>
              <w:ind w:firstLine="420" w:firstLineChars="200"/>
              <w:rPr>
                <w:rFonts w:ascii="宋体" w:hAnsi="宋体" w:cs="宋体"/>
                <w:szCs w:val="21"/>
              </w:rPr>
            </w:pPr>
            <w:r>
              <w:rPr>
                <w:rFonts w:hint="eastAsia" w:ascii="宋体" w:hAnsi="宋体" w:cs="宋体"/>
                <w:szCs w:val="21"/>
              </w:rPr>
              <w:t>职业健康安全管控：发放安全帽、工服、手套等劳保，并能穿戴。</w:t>
            </w:r>
          </w:p>
          <w:p>
            <w:pPr>
              <w:spacing w:line="380" w:lineRule="exact"/>
              <w:ind w:firstLine="420" w:firstLineChars="200"/>
              <w:rPr>
                <w:rFonts w:ascii="宋体" w:hAnsi="宋体" w:cs="宋体"/>
                <w:szCs w:val="21"/>
              </w:rPr>
            </w:pPr>
            <w:r>
              <w:rPr>
                <w:rFonts w:hint="eastAsia" w:ascii="宋体" w:hAnsi="宋体" w:cs="宋体"/>
                <w:szCs w:val="21"/>
              </w:rPr>
              <w:t xml:space="preserve"> 提供公司与员工签订的劳动合同，见审核办公室该条款记录。</w:t>
            </w:r>
          </w:p>
          <w:p>
            <w:pPr>
              <w:spacing w:line="380" w:lineRule="exact"/>
              <w:ind w:firstLine="420" w:firstLineChars="200"/>
              <w:rPr>
                <w:rFonts w:ascii="宋体" w:hAnsi="宋体" w:cs="宋体"/>
                <w:szCs w:val="21"/>
              </w:rPr>
            </w:pPr>
            <w:r>
              <w:rPr>
                <w:rFonts w:hint="eastAsia" w:ascii="宋体" w:hAnsi="宋体" w:cs="宋体"/>
                <w:szCs w:val="21"/>
              </w:rPr>
              <w:t>经了解公司为职工缴纳社保，见审核办公室该条款记录。</w:t>
            </w:r>
          </w:p>
          <w:p>
            <w:pPr>
              <w:spacing w:line="380" w:lineRule="exact"/>
              <w:ind w:firstLine="420" w:firstLineChars="200"/>
              <w:rPr>
                <w:rFonts w:ascii="宋体" w:hAnsi="宋体" w:cs="宋体"/>
                <w:szCs w:val="21"/>
              </w:rPr>
            </w:pPr>
            <w:r>
              <w:rPr>
                <w:rFonts w:hint="eastAsia" w:ascii="宋体" w:hAnsi="宋体" w:cs="宋体"/>
                <w:szCs w:val="21"/>
              </w:rPr>
              <w:t>按有关程序和要求通报供方和顾客，采用〈告知函〉方式通报。查到相关方告知书。</w:t>
            </w:r>
          </w:p>
          <w:p>
            <w:pPr>
              <w:spacing w:line="380" w:lineRule="exact"/>
              <w:ind w:firstLine="420" w:firstLineChars="200"/>
              <w:rPr>
                <w:rFonts w:ascii="宋体" w:hAnsi="宋体" w:cs="宋体"/>
                <w:szCs w:val="21"/>
              </w:rPr>
            </w:pPr>
            <w:r>
              <w:rPr>
                <w:rFonts w:hint="eastAsia" w:ascii="宋体" w:hAnsi="宋体" w:cs="宋体"/>
                <w:szCs w:val="21"/>
              </w:rPr>
              <w:t>经了解未发生相关方造成的环境污染以及职业健康安全问题情况。</w:t>
            </w:r>
          </w:p>
          <w:p>
            <w:pPr>
              <w:spacing w:line="380" w:lineRule="exact"/>
              <w:ind w:firstLine="420" w:firstLineChars="200"/>
              <w:rPr>
                <w:rFonts w:ascii="宋体" w:hAnsi="宋体" w:cs="宋体"/>
                <w:szCs w:val="21"/>
              </w:rPr>
            </w:pPr>
            <w:r>
              <w:rPr>
                <w:rFonts w:hint="eastAsia" w:ascii="宋体" w:hAnsi="宋体" w:cs="宋体"/>
                <w:szCs w:val="21"/>
              </w:rPr>
              <w:t>运行控制基本有效。</w:t>
            </w:r>
          </w:p>
        </w:tc>
        <w:tc>
          <w:tcPr>
            <w:tcW w:w="760" w:type="dxa"/>
          </w:tcPr>
          <w:p>
            <w:pPr>
              <w:spacing w:line="380" w:lineRule="exact"/>
              <w:rPr>
                <w:rFonts w:ascii="宋体" w:hAnsi="宋体" w:cs="宋体"/>
                <w:szCs w:val="21"/>
              </w:rPr>
            </w:pPr>
          </w:p>
          <w:p>
            <w:pPr>
              <w:spacing w:line="380" w:lineRule="exact"/>
              <w:rPr>
                <w:rFonts w:ascii="宋体" w:hAnsi="宋体" w:cs="宋体"/>
                <w:szCs w:val="21"/>
              </w:rPr>
            </w:pPr>
          </w:p>
          <w:p>
            <w:pPr>
              <w:spacing w:line="380" w:lineRule="exact"/>
              <w:rPr>
                <w:rFonts w:ascii="宋体" w:hAnsi="宋体" w:cs="宋体"/>
                <w:szCs w:val="21"/>
              </w:rPr>
            </w:pPr>
          </w:p>
          <w:p>
            <w:pPr>
              <w:spacing w:line="380" w:lineRule="exact"/>
              <w:rPr>
                <w:rFonts w:ascii="宋体" w:hAnsi="宋体" w:cs="宋体"/>
                <w:szCs w:val="21"/>
              </w:rPr>
            </w:pPr>
          </w:p>
          <w:p>
            <w:pPr>
              <w:spacing w:line="380" w:lineRule="exact"/>
              <w:rPr>
                <w:rFonts w:ascii="宋体" w:hAnsi="宋体" w:cs="宋体"/>
                <w:szCs w:val="21"/>
              </w:rPr>
            </w:pPr>
          </w:p>
          <w:p>
            <w:pPr>
              <w:spacing w:line="380" w:lineRule="exact"/>
              <w:rPr>
                <w:rFonts w:ascii="宋体" w:hAnsi="宋体" w:cs="宋体"/>
                <w:szCs w:val="21"/>
              </w:rPr>
            </w:pPr>
          </w:p>
          <w:p>
            <w:pPr>
              <w:spacing w:line="380" w:lineRule="exact"/>
              <w:rPr>
                <w:rFonts w:ascii="宋体" w:hAnsi="宋体" w:cs="宋体"/>
                <w:szCs w:val="21"/>
              </w:rPr>
            </w:pPr>
          </w:p>
          <w:p>
            <w:pPr>
              <w:spacing w:line="380" w:lineRule="exact"/>
              <w:rPr>
                <w:rFonts w:ascii="宋体" w:hAnsi="宋体" w:cs="宋体"/>
                <w:szCs w:val="21"/>
              </w:rPr>
            </w:pPr>
          </w:p>
          <w:p>
            <w:pPr>
              <w:spacing w:line="380" w:lineRule="exact"/>
              <w:rPr>
                <w:rFonts w:ascii="宋体" w:hAnsi="宋体" w:cs="宋体"/>
                <w:szCs w:val="21"/>
              </w:rPr>
            </w:pPr>
          </w:p>
          <w:p>
            <w:pPr>
              <w:spacing w:line="380" w:lineRule="exact"/>
              <w:rPr>
                <w:rFonts w:ascii="宋体" w:hAnsi="宋体" w:cs="宋体"/>
                <w:szCs w:val="21"/>
              </w:rPr>
            </w:pPr>
          </w:p>
          <w:p>
            <w:pPr>
              <w:spacing w:line="380" w:lineRule="exact"/>
              <w:rPr>
                <w:rFonts w:ascii="宋体" w:hAnsi="宋体" w:cs="宋体"/>
                <w:szCs w:val="21"/>
              </w:rPr>
            </w:pPr>
          </w:p>
          <w:p>
            <w:pPr>
              <w:spacing w:line="380" w:lineRule="exact"/>
              <w:rPr>
                <w:rFonts w:ascii="宋体" w:hAnsi="宋体" w:cs="宋体"/>
                <w:szCs w:val="21"/>
              </w:rPr>
            </w:pPr>
          </w:p>
          <w:p>
            <w:pPr>
              <w:spacing w:line="380" w:lineRule="exact"/>
              <w:rPr>
                <w:rFonts w:ascii="宋体" w:hAnsi="宋体" w:cs="宋体"/>
                <w:szCs w:val="21"/>
              </w:rPr>
            </w:pPr>
          </w:p>
          <w:p>
            <w:pPr>
              <w:spacing w:line="380" w:lineRule="exact"/>
              <w:rPr>
                <w:rFonts w:ascii="宋体" w:hAnsi="宋体" w:cs="宋体"/>
                <w:szCs w:val="21"/>
              </w:rPr>
            </w:pPr>
          </w:p>
          <w:p>
            <w:pPr>
              <w:spacing w:line="380" w:lineRule="exact"/>
              <w:rPr>
                <w:rFonts w:ascii="宋体" w:hAnsi="宋体" w:cs="宋体"/>
                <w:szCs w:val="21"/>
              </w:rPr>
            </w:pPr>
          </w:p>
          <w:p>
            <w:pPr>
              <w:spacing w:line="380" w:lineRule="exact"/>
              <w:rPr>
                <w:rFonts w:ascii="宋体" w:hAnsi="宋体" w:cs="宋体"/>
                <w:szCs w:val="21"/>
              </w:rPr>
            </w:pPr>
          </w:p>
          <w:p>
            <w:pPr>
              <w:spacing w:line="380" w:lineRule="exact"/>
              <w:rPr>
                <w:rFonts w:ascii="宋体" w:hAnsi="宋体" w:cs="宋体"/>
                <w:szCs w:val="21"/>
              </w:rPr>
            </w:pPr>
          </w:p>
          <w:p>
            <w:pPr>
              <w:spacing w:line="380" w:lineRule="exact"/>
              <w:rPr>
                <w:rFonts w:ascii="宋体" w:hAnsi="宋体" w:cs="宋体"/>
                <w:szCs w:val="21"/>
              </w:rPr>
            </w:pPr>
          </w:p>
          <w:p>
            <w:pPr>
              <w:spacing w:line="380" w:lineRule="exact"/>
              <w:rPr>
                <w:rFonts w:ascii="宋体" w:hAnsi="宋体" w:cs="宋体"/>
                <w:szCs w:val="21"/>
              </w:rPr>
            </w:pPr>
          </w:p>
          <w:p>
            <w:pPr>
              <w:spacing w:line="380" w:lineRule="exact"/>
              <w:rPr>
                <w:rFonts w:ascii="宋体" w:hAnsi="宋体" w:cs="宋体"/>
                <w:szCs w:val="21"/>
              </w:rPr>
            </w:pPr>
          </w:p>
          <w:p>
            <w:pPr>
              <w:spacing w:line="380" w:lineRule="exact"/>
              <w:rPr>
                <w:rFonts w:ascii="宋体" w:hAnsi="宋体" w:cs="宋体"/>
                <w:szCs w:val="21"/>
              </w:rPr>
            </w:pPr>
          </w:p>
          <w:p>
            <w:pPr>
              <w:spacing w:line="380" w:lineRule="exact"/>
              <w:rPr>
                <w:rFonts w:ascii="宋体" w:hAnsi="宋体" w:cs="宋体"/>
                <w:szCs w:val="21"/>
              </w:rPr>
            </w:pPr>
          </w:p>
          <w:p>
            <w:pPr>
              <w:spacing w:line="38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707" w:type="dxa"/>
          </w:tcPr>
          <w:p>
            <w:pPr>
              <w:spacing w:line="380" w:lineRule="exact"/>
              <w:rPr>
                <w:rFonts w:ascii="宋体" w:hAnsi="宋体" w:cs="宋体"/>
                <w:szCs w:val="21"/>
              </w:rPr>
            </w:pPr>
            <w:r>
              <w:rPr>
                <w:rFonts w:hint="eastAsia"/>
                <w:bCs/>
                <w:szCs w:val="21"/>
              </w:rPr>
              <w:t>应急准备和相应</w:t>
            </w:r>
          </w:p>
        </w:tc>
        <w:tc>
          <w:tcPr>
            <w:tcW w:w="1019" w:type="dxa"/>
          </w:tcPr>
          <w:p>
            <w:pPr>
              <w:spacing w:line="380" w:lineRule="exact"/>
              <w:rPr>
                <w:bCs/>
                <w:szCs w:val="21"/>
              </w:rPr>
            </w:pPr>
            <w:r>
              <w:rPr>
                <w:rFonts w:hint="eastAsia"/>
                <w:bCs/>
                <w:szCs w:val="21"/>
              </w:rPr>
              <w:t>E</w:t>
            </w:r>
            <w:r>
              <w:rPr>
                <w:rFonts w:hint="eastAsia"/>
                <w:bCs/>
                <w:szCs w:val="21"/>
                <w:lang w:val="en-US" w:eastAsia="zh-CN"/>
              </w:rPr>
              <w:t xml:space="preserve">S </w:t>
            </w:r>
            <w:r>
              <w:rPr>
                <w:rFonts w:hint="eastAsia"/>
                <w:bCs/>
                <w:szCs w:val="21"/>
              </w:rPr>
              <w:t>8.2</w:t>
            </w:r>
          </w:p>
          <w:p>
            <w:pPr>
              <w:spacing w:line="380" w:lineRule="exact"/>
              <w:rPr>
                <w:rFonts w:ascii="宋体" w:hAnsi="宋体" w:cs="宋体"/>
                <w:color w:val="000000"/>
                <w:szCs w:val="21"/>
              </w:rPr>
            </w:pPr>
          </w:p>
        </w:tc>
        <w:tc>
          <w:tcPr>
            <w:tcW w:w="11223" w:type="dxa"/>
          </w:tcPr>
          <w:p>
            <w:pPr>
              <w:spacing w:line="380" w:lineRule="exact"/>
              <w:ind w:firstLine="420" w:firstLineChars="200"/>
              <w:rPr>
                <w:color w:val="000000"/>
                <w:szCs w:val="21"/>
              </w:rPr>
            </w:pPr>
            <w:r>
              <w:rPr>
                <w:rFonts w:hint="eastAsia" w:ascii="宋体" w:hAnsi="宋体" w:cs="宋体"/>
                <w:szCs w:val="21"/>
              </w:rPr>
              <w:t>参加综合部组织的应急培训和演练，详见审核综合部该条款记录。</w:t>
            </w:r>
          </w:p>
        </w:tc>
        <w:tc>
          <w:tcPr>
            <w:tcW w:w="760" w:type="dxa"/>
          </w:tcPr>
          <w:p>
            <w:pPr>
              <w:spacing w:line="380" w:lineRule="exact"/>
              <w:rPr>
                <w:rFonts w:ascii="宋体" w:hAnsi="宋体" w:cs="宋体"/>
                <w:szCs w:val="21"/>
              </w:rPr>
            </w:pPr>
          </w:p>
        </w:tc>
      </w:tr>
    </w:tbl>
    <w:p>
      <w:pPr>
        <w:pStyle w:val="6"/>
        <w:spacing w:line="380" w:lineRule="exact"/>
      </w:pPr>
      <w:r>
        <w:rPr>
          <w:rFonts w:hint="eastAsia"/>
          <w:sz w:val="21"/>
          <w:szCs w:val="21"/>
        </w:rPr>
        <w:t>说明：不符合标注N</w:t>
      </w:r>
    </w:p>
    <w:p>
      <w:pPr>
        <w:pStyle w:val="6"/>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ISC-B-I-19 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ISC-B-I-19 管理体系审核记录表(03版)</w:t>
                    </w:r>
                  </w:p>
                </w:txbxContent>
              </v:textbox>
            </v:shape>
          </w:pict>
        </mc:Fallback>
      </mc:AlternateConten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16B864"/>
    <w:multiLevelType w:val="singleLevel"/>
    <w:tmpl w:val="B816B864"/>
    <w:lvl w:ilvl="0" w:tentative="0">
      <w:start w:val="2"/>
      <w:numFmt w:val="decimal"/>
      <w:suff w:val="nothing"/>
      <w:lvlText w:val="%1、"/>
      <w:lvlJc w:val="left"/>
    </w:lvl>
  </w:abstractNum>
  <w:abstractNum w:abstractNumId="1">
    <w:nsid w:val="74E559CC"/>
    <w:multiLevelType w:val="singleLevel"/>
    <w:tmpl w:val="74E559CC"/>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100D57"/>
    <w:rsid w:val="001A2D7F"/>
    <w:rsid w:val="00262E34"/>
    <w:rsid w:val="00337922"/>
    <w:rsid w:val="00340867"/>
    <w:rsid w:val="00380837"/>
    <w:rsid w:val="003A198A"/>
    <w:rsid w:val="00410914"/>
    <w:rsid w:val="00536930"/>
    <w:rsid w:val="00564E53"/>
    <w:rsid w:val="0059008D"/>
    <w:rsid w:val="005B65F5"/>
    <w:rsid w:val="005F252F"/>
    <w:rsid w:val="00644FE2"/>
    <w:rsid w:val="0067640C"/>
    <w:rsid w:val="006E678B"/>
    <w:rsid w:val="007349CC"/>
    <w:rsid w:val="00770737"/>
    <w:rsid w:val="007757F3"/>
    <w:rsid w:val="007D725F"/>
    <w:rsid w:val="007E6AEB"/>
    <w:rsid w:val="008973EE"/>
    <w:rsid w:val="008A7C8B"/>
    <w:rsid w:val="008D37B4"/>
    <w:rsid w:val="009043C9"/>
    <w:rsid w:val="00933C04"/>
    <w:rsid w:val="00963112"/>
    <w:rsid w:val="00971600"/>
    <w:rsid w:val="009973B4"/>
    <w:rsid w:val="009C28C1"/>
    <w:rsid w:val="009F7EED"/>
    <w:rsid w:val="00A445B4"/>
    <w:rsid w:val="00A60FF4"/>
    <w:rsid w:val="00AC0073"/>
    <w:rsid w:val="00AE4CEF"/>
    <w:rsid w:val="00AF0AAB"/>
    <w:rsid w:val="00BF597E"/>
    <w:rsid w:val="00C179A0"/>
    <w:rsid w:val="00C51A36"/>
    <w:rsid w:val="00C55228"/>
    <w:rsid w:val="00CE315A"/>
    <w:rsid w:val="00D06F59"/>
    <w:rsid w:val="00D712AB"/>
    <w:rsid w:val="00D8388C"/>
    <w:rsid w:val="00EA5B7F"/>
    <w:rsid w:val="00EB0164"/>
    <w:rsid w:val="00EC0BDA"/>
    <w:rsid w:val="00ED0F62"/>
    <w:rsid w:val="0320505F"/>
    <w:rsid w:val="038B12E8"/>
    <w:rsid w:val="04510B7D"/>
    <w:rsid w:val="08370D1F"/>
    <w:rsid w:val="08E60B71"/>
    <w:rsid w:val="0998237F"/>
    <w:rsid w:val="0A7E0BF2"/>
    <w:rsid w:val="0A8D103E"/>
    <w:rsid w:val="0ACE1CBC"/>
    <w:rsid w:val="0AF9100B"/>
    <w:rsid w:val="0B5F07F0"/>
    <w:rsid w:val="0C1869EC"/>
    <w:rsid w:val="0DD806AD"/>
    <w:rsid w:val="0E891764"/>
    <w:rsid w:val="108219C2"/>
    <w:rsid w:val="108A0D67"/>
    <w:rsid w:val="11114BE3"/>
    <w:rsid w:val="117E71EC"/>
    <w:rsid w:val="136314F4"/>
    <w:rsid w:val="136B4A65"/>
    <w:rsid w:val="14090FDB"/>
    <w:rsid w:val="14257908"/>
    <w:rsid w:val="15093029"/>
    <w:rsid w:val="15D53416"/>
    <w:rsid w:val="16975B5C"/>
    <w:rsid w:val="16F65808"/>
    <w:rsid w:val="16F701BD"/>
    <w:rsid w:val="193A6BC1"/>
    <w:rsid w:val="19BD6015"/>
    <w:rsid w:val="1B3E39A3"/>
    <w:rsid w:val="1B405BB2"/>
    <w:rsid w:val="1B9E43FA"/>
    <w:rsid w:val="1BEC3BF1"/>
    <w:rsid w:val="1D85741F"/>
    <w:rsid w:val="1E2452AC"/>
    <w:rsid w:val="1E847499"/>
    <w:rsid w:val="1F055D14"/>
    <w:rsid w:val="1F1F7BA7"/>
    <w:rsid w:val="1FD7676E"/>
    <w:rsid w:val="20645DBC"/>
    <w:rsid w:val="23557E88"/>
    <w:rsid w:val="274E61F5"/>
    <w:rsid w:val="2767752B"/>
    <w:rsid w:val="27DF7CD6"/>
    <w:rsid w:val="2C703113"/>
    <w:rsid w:val="2EE93C61"/>
    <w:rsid w:val="2FEB299B"/>
    <w:rsid w:val="32691255"/>
    <w:rsid w:val="32C11AD5"/>
    <w:rsid w:val="34041CDB"/>
    <w:rsid w:val="3438524B"/>
    <w:rsid w:val="34B32935"/>
    <w:rsid w:val="375F34D7"/>
    <w:rsid w:val="38DB3925"/>
    <w:rsid w:val="38F61C56"/>
    <w:rsid w:val="394F02D7"/>
    <w:rsid w:val="3AD826FA"/>
    <w:rsid w:val="3B1A0AD2"/>
    <w:rsid w:val="3DAD6D4F"/>
    <w:rsid w:val="40285D69"/>
    <w:rsid w:val="407B2BB8"/>
    <w:rsid w:val="41842DAE"/>
    <w:rsid w:val="441A63F5"/>
    <w:rsid w:val="456B1A4B"/>
    <w:rsid w:val="4592331F"/>
    <w:rsid w:val="465B32B5"/>
    <w:rsid w:val="466F33FE"/>
    <w:rsid w:val="48800E04"/>
    <w:rsid w:val="489C542B"/>
    <w:rsid w:val="48BF615B"/>
    <w:rsid w:val="494C5676"/>
    <w:rsid w:val="498C653B"/>
    <w:rsid w:val="4A5605B7"/>
    <w:rsid w:val="4ABE4B71"/>
    <w:rsid w:val="4BB26385"/>
    <w:rsid w:val="4D943D2E"/>
    <w:rsid w:val="4E2F1660"/>
    <w:rsid w:val="4E95570D"/>
    <w:rsid w:val="4EFF6994"/>
    <w:rsid w:val="50886C2D"/>
    <w:rsid w:val="52390AC9"/>
    <w:rsid w:val="56135BAC"/>
    <w:rsid w:val="56390FCA"/>
    <w:rsid w:val="563932E5"/>
    <w:rsid w:val="56AA2E90"/>
    <w:rsid w:val="57AB6651"/>
    <w:rsid w:val="58322D49"/>
    <w:rsid w:val="58445D7A"/>
    <w:rsid w:val="59A961B5"/>
    <w:rsid w:val="5A526EF4"/>
    <w:rsid w:val="5AAA27E4"/>
    <w:rsid w:val="5BCC76FD"/>
    <w:rsid w:val="5C1F288C"/>
    <w:rsid w:val="5DAB4DE2"/>
    <w:rsid w:val="5DAC4DCE"/>
    <w:rsid w:val="5DE504C5"/>
    <w:rsid w:val="5E1C6CEB"/>
    <w:rsid w:val="5EA12B9A"/>
    <w:rsid w:val="5ED74E33"/>
    <w:rsid w:val="65A34EED"/>
    <w:rsid w:val="65B47E80"/>
    <w:rsid w:val="661149EF"/>
    <w:rsid w:val="6612664F"/>
    <w:rsid w:val="66B7462A"/>
    <w:rsid w:val="67640CF7"/>
    <w:rsid w:val="679A4C72"/>
    <w:rsid w:val="6A23146B"/>
    <w:rsid w:val="6D53402F"/>
    <w:rsid w:val="700D5C7C"/>
    <w:rsid w:val="7333596B"/>
    <w:rsid w:val="73787C5E"/>
    <w:rsid w:val="73A00EA2"/>
    <w:rsid w:val="743806D0"/>
    <w:rsid w:val="75A8368A"/>
    <w:rsid w:val="761F43CB"/>
    <w:rsid w:val="76373F2B"/>
    <w:rsid w:val="77310DBF"/>
    <w:rsid w:val="78741EB2"/>
    <w:rsid w:val="79356B38"/>
    <w:rsid w:val="7A627DAC"/>
    <w:rsid w:val="7B5C61FD"/>
    <w:rsid w:val="7C4566E1"/>
    <w:rsid w:val="7EBA4CE7"/>
    <w:rsid w:val="7F033C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ind w:firstLine="480" w:firstLineChars="200"/>
    </w:pPr>
    <w:rPr>
      <w:sz w:val="24"/>
    </w:rPr>
  </w:style>
  <w:style w:type="paragraph" w:styleId="4">
    <w:name w:val="Plain Text"/>
    <w:basedOn w:val="1"/>
    <w:unhideWhenUsed/>
    <w:qFormat/>
    <w:uiPriority w:val="0"/>
    <w:rPr>
      <w:rFonts w:ascii="宋体" w:hAnsi="Courier New"/>
    </w:rPr>
  </w:style>
  <w:style w:type="paragraph" w:styleId="5">
    <w:name w:val="Balloon Text"/>
    <w:basedOn w:val="1"/>
    <w:link w:val="13"/>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7"/>
    <w:qFormat/>
    <w:uiPriority w:val="99"/>
    <w:rPr>
      <w:rFonts w:ascii="Times New Roman" w:hAnsi="Times New Roman" w:eastAsia="宋体" w:cs="Times New Roman"/>
      <w:sz w:val="18"/>
      <w:szCs w:val="18"/>
    </w:rPr>
  </w:style>
  <w:style w:type="character" w:customStyle="1" w:styleId="12">
    <w:name w:val="页脚 字符"/>
    <w:basedOn w:val="10"/>
    <w:link w:val="6"/>
    <w:qFormat/>
    <w:uiPriority w:val="99"/>
    <w:rPr>
      <w:rFonts w:ascii="Times New Roman" w:hAnsi="Times New Roman" w:eastAsia="宋体" w:cs="Times New Roman"/>
      <w:sz w:val="18"/>
      <w:szCs w:val="18"/>
    </w:rPr>
  </w:style>
  <w:style w:type="character" w:customStyle="1" w:styleId="13">
    <w:name w:val="批注框文本 字符"/>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_Style 2"/>
    <w:basedOn w:val="1"/>
    <w:qFormat/>
    <w:uiPriority w:val="34"/>
    <w:pPr>
      <w:ind w:firstLine="420" w:firstLineChars="200"/>
    </w:pPr>
    <w:rPr>
      <w:rFonts w:ascii="Calibri" w:hAnsi="Calibri"/>
      <w:szCs w:val="22"/>
    </w:rPr>
  </w:style>
  <w:style w:type="paragraph" w:customStyle="1" w:styleId="16">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780</Words>
  <Characters>4450</Characters>
  <Lines>37</Lines>
  <Paragraphs>10</Paragraphs>
  <TotalTime>11</TotalTime>
  <ScaleCrop>false</ScaleCrop>
  <LinksUpToDate>false</LinksUpToDate>
  <CharactersWithSpaces>5220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2021-08-30T16:34:18Z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F017E25CFEAA4D1893FF1F8AA10F8BCD</vt:lpwstr>
  </property>
</Properties>
</file>