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0788-2021-Q</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石家庄市藁城区华联水泥制品有限公司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2021年08月29日 上午至2021年08月29日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eastAsia="宋体"/>
                <w:b/>
                <w:color w:val="000000"/>
                <w:szCs w:val="21"/>
                <w:lang w:val="en-US" w:eastAsia="zh-CN"/>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rPr>
              <w:t xml:space="preserve"> </w:t>
            </w:r>
            <w:r>
              <w:rPr>
                <w:rFonts w:hint="eastAsia" w:ascii="宋体" w:hAnsi="宋体"/>
                <w:b/>
                <w:color w:val="000000"/>
                <w:szCs w:val="21"/>
                <w:lang w:val="en-US" w:eastAsia="zh-CN"/>
              </w:rPr>
              <w:t xml:space="preserve"> </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 xml:space="preserve">现场审核   </w:t>
            </w:r>
            <w:r>
              <w:rPr>
                <w:rFonts w:hint="eastAsia" w:ascii="宋体"/>
                <w:b/>
                <w:color w:val="000000"/>
                <w:szCs w:val="21"/>
              </w:rPr>
              <w:sym w:font="Wingdings 2" w:char="00A3"/>
            </w:r>
            <w:r>
              <w:rPr>
                <w:rFonts w:hint="eastAsia" w:ascii="宋体"/>
                <w:b/>
                <w:color w:val="000000"/>
                <w:szCs w:val="21"/>
              </w:rPr>
              <w:t>远程审核    □非现场审核（仅限一阶段）</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2019-N1QMS-1244880</w:t>
            </w:r>
          </w:p>
        </w:tc>
        <w:tc>
          <w:tcPr>
            <w:tcW w:w="1140" w:type="dxa"/>
            <w:vAlign w:val="center"/>
          </w:tcPr>
          <w:p>
            <w:pPr>
              <w:spacing w:line="240" w:lineRule="exact"/>
              <w:jc w:val="center"/>
              <w:rPr>
                <w:b/>
                <w:color w:val="000000"/>
                <w:szCs w:val="21"/>
              </w:rPr>
            </w:pPr>
            <w:r>
              <w:rPr>
                <w:b/>
                <w:color w:val="000000"/>
                <w:szCs w:val="21"/>
              </w:rPr>
              <w:t>16.02.01</w:t>
            </w: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石家庄市藁城区华联水泥制品有限公司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河北省石家庄市藁城区南孟镇贤庄村</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052165</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办公地址"/>
            <w:r>
              <w:rPr>
                <w:rFonts w:ascii="宋体"/>
                <w:b/>
                <w:color w:val="000000"/>
                <w:szCs w:val="21"/>
              </w:rPr>
              <w:t>河北省石家庄市藁城区南孟镇贤庄村</w:t>
            </w:r>
            <w:bookmarkEnd w:id="21"/>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2" w:name="办公邮编"/>
            <w:r>
              <w:rPr>
                <w:rFonts w:ascii="宋体"/>
                <w:b/>
                <w:color w:val="000000"/>
                <w:szCs w:val="21"/>
              </w:rPr>
              <w:t>052165</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3" w:name="联系人"/>
            <w:r>
              <w:rPr>
                <w:rFonts w:ascii="宋体"/>
                <w:b/>
                <w:color w:val="000000"/>
                <w:szCs w:val="21"/>
              </w:rPr>
              <w:t>王建海</w:t>
            </w:r>
            <w:bookmarkEnd w:id="23"/>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4" w:name="联系人手机"/>
            <w:r>
              <w:rPr>
                <w:rFonts w:ascii="宋体"/>
                <w:b/>
                <w:color w:val="000000"/>
                <w:szCs w:val="21"/>
              </w:rPr>
              <w:t>13603218665</w:t>
            </w:r>
            <w:bookmarkEnd w:id="24"/>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5" w:name="联系人传真"/>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6" w:name="法人"/>
            <w:r>
              <w:rPr>
                <w:rFonts w:ascii="宋体"/>
                <w:b/>
                <w:color w:val="000000"/>
                <w:szCs w:val="21"/>
              </w:rPr>
              <w:t>王建海</w:t>
            </w:r>
            <w:bookmarkEnd w:id="26"/>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7" w:name="管理者代表"/>
            <w:r>
              <w:rPr>
                <w:rFonts w:ascii="宋体"/>
                <w:b/>
                <w:color w:val="000000"/>
                <w:szCs w:val="21"/>
              </w:rPr>
              <w:t>王建海</w:t>
            </w:r>
            <w:bookmarkEnd w:id="27"/>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28" w:name="审核范围"/>
            <w:r>
              <w:rPr>
                <w:rFonts w:hint="eastAsia" w:ascii="宋体" w:hAnsi="宋体" w:cs="宋体"/>
                <w:color w:val="000000"/>
                <w:kern w:val="0"/>
                <w:szCs w:val="21"/>
              </w:rPr>
              <w:t>环形混凝土电杆的加工</w:t>
            </w:r>
            <w:bookmarkEnd w:id="28"/>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b/>
                <w:bCs/>
                <w:color w:val="000000"/>
                <w:sz w:val="44"/>
              </w:rPr>
              <w:drawing>
                <wp:inline distT="0" distB="0" distL="114300" distR="114300">
                  <wp:extent cx="4216400" cy="2176145"/>
                  <wp:effectExtent l="0" t="0" r="0" b="825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4216400" cy="21761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tabs>
                <w:tab w:val="left" w:pos="360"/>
              </w:tabs>
              <w:ind w:left="360" w:hanging="360"/>
              <w:rPr>
                <w:rFonts w:ascii="宋体" w:hAnsi="宋体"/>
                <w:b/>
                <w:color w:val="000000"/>
                <w:szCs w:val="21"/>
              </w:rPr>
            </w:pPr>
            <w:r>
              <w:rPr>
                <w:rFonts w:hint="eastAsia" w:ascii="宋体" w:hAnsi="宋体" w:cs="宋体"/>
                <w:color w:val="000000"/>
                <w:kern w:val="0"/>
                <w:szCs w:val="21"/>
              </w:rPr>
              <w:t>环形混凝土电杆的加工</w:t>
            </w:r>
          </w:p>
          <w:p>
            <w:pPr>
              <w:spacing w:line="400" w:lineRule="exact"/>
              <w:ind w:firstLine="567" w:firstLineChars="0"/>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639"/>
        <w:gridCol w:w="640"/>
        <w:gridCol w:w="2290"/>
        <w:gridCol w:w="17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39"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4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29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4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ascii="宋体" w:hAnsi="宋体" w:cs="宋体"/>
                <w:color w:val="000000"/>
                <w:kern w:val="0"/>
                <w:szCs w:val="21"/>
              </w:rPr>
            </w:pPr>
            <w:r>
              <w:rPr>
                <w:rFonts w:hint="eastAsia" w:ascii="宋体" w:hAnsi="宋体" w:cs="宋体"/>
                <w:color w:val="000000"/>
                <w:kern w:val="0"/>
                <w:szCs w:val="21"/>
              </w:rPr>
              <w:t>石家庄市藁城区华联水泥制品有限公司</w:t>
            </w:r>
          </w:p>
          <w:p>
            <w:pPr>
              <w:spacing w:before="40" w:after="40"/>
              <w:rPr>
                <w:rFonts w:hint="eastAsia" w:ascii="宋体" w:hAnsi="宋体" w:cs="宋体"/>
                <w:color w:val="000000"/>
                <w:kern w:val="0"/>
                <w:szCs w:val="21"/>
                <w:lang w:val="de-DE" w:eastAsia="ja-JP"/>
              </w:rPr>
            </w:pPr>
            <w:r>
              <w:rPr>
                <w:rFonts w:hint="eastAsia" w:ascii="宋体" w:hAnsi="宋体" w:cs="宋体"/>
                <w:color w:val="000000"/>
                <w:kern w:val="0"/>
                <w:szCs w:val="21"/>
              </w:rPr>
              <w:t>河北省石家庄市藁城区南孟镇贤庄村</w:t>
            </w:r>
          </w:p>
        </w:tc>
        <w:tc>
          <w:tcPr>
            <w:tcW w:w="1639" w:type="dxa"/>
          </w:tcPr>
          <w:p>
            <w:pPr>
              <w:spacing w:before="40" w:after="40"/>
              <w:rPr>
                <w:rFonts w:eastAsia="黑体"/>
                <w:szCs w:val="21"/>
                <w:lang w:val="de-DE" w:eastAsia="ja-JP"/>
              </w:rPr>
            </w:pPr>
            <w:r>
              <w:rPr>
                <w:rFonts w:hint="eastAsia" w:ascii="宋体" w:hAnsi="宋体" w:cs="宋体"/>
                <w:color w:val="000000"/>
                <w:kern w:val="0"/>
                <w:szCs w:val="21"/>
              </w:rPr>
              <w:t>河北省石家庄市藁城区南孟镇贤庄村</w:t>
            </w:r>
          </w:p>
        </w:tc>
        <w:tc>
          <w:tcPr>
            <w:tcW w:w="640"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290" w:type="dxa"/>
            <w:vAlign w:val="center"/>
          </w:tcPr>
          <w:p>
            <w:pPr>
              <w:pStyle w:val="19"/>
              <w:rPr>
                <w:rFonts w:eastAsia="黑体" w:cs="Arial"/>
                <w:sz w:val="21"/>
                <w:szCs w:val="21"/>
                <w:lang w:val="en-US" w:eastAsia="ja-JP"/>
              </w:rPr>
            </w:pPr>
            <w:r>
              <w:rPr>
                <w:rFonts w:hint="eastAsia" w:ascii="宋体" w:hAnsi="宋体" w:cs="宋体"/>
                <w:color w:val="000000"/>
                <w:kern w:val="0"/>
                <w:szCs w:val="21"/>
              </w:rPr>
              <w:t>环形混凝土电杆的加工</w:t>
            </w:r>
          </w:p>
        </w:tc>
        <w:tc>
          <w:tcPr>
            <w:tcW w:w="1741" w:type="dxa"/>
            <w:vAlign w:val="center"/>
          </w:tcPr>
          <w:p>
            <w:pPr>
              <w:spacing w:before="40" w:after="40"/>
              <w:rPr>
                <w:rFonts w:eastAsia="黑体"/>
                <w:szCs w:val="21"/>
                <w:lang w:eastAsia="ja-JP"/>
              </w:rPr>
            </w:pPr>
            <w:r>
              <w:rPr>
                <w:rFonts w:hint="eastAsia" w:ascii="楷体" w:hAnsi="楷体" w:eastAsia="楷体"/>
                <w:szCs w:val="21"/>
              </w:rPr>
              <w:t>GB4623-2014《环形混凝土电杆》</w:t>
            </w: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639" w:type="dxa"/>
            <w:vAlign w:val="center"/>
          </w:tcPr>
          <w:p>
            <w:pPr>
              <w:spacing w:before="40" w:after="40"/>
              <w:rPr>
                <w:rFonts w:eastAsia="黑体"/>
                <w:szCs w:val="21"/>
                <w:lang w:eastAsia="ja-JP"/>
              </w:rPr>
            </w:pPr>
          </w:p>
        </w:tc>
        <w:tc>
          <w:tcPr>
            <w:tcW w:w="640" w:type="dxa"/>
            <w:vAlign w:val="center"/>
          </w:tcPr>
          <w:p>
            <w:pPr>
              <w:spacing w:before="40" w:after="40"/>
              <w:rPr>
                <w:rFonts w:eastAsia="黑体"/>
                <w:szCs w:val="21"/>
                <w:lang w:eastAsia="ja-JP"/>
              </w:rPr>
            </w:pPr>
          </w:p>
        </w:tc>
        <w:tc>
          <w:tcPr>
            <w:tcW w:w="2290" w:type="dxa"/>
            <w:vAlign w:val="center"/>
          </w:tcPr>
          <w:p>
            <w:pPr>
              <w:spacing w:before="40" w:after="40"/>
              <w:rPr>
                <w:rFonts w:eastAsia="黑体"/>
                <w:szCs w:val="21"/>
                <w:lang w:eastAsia="ja-JP"/>
              </w:rPr>
            </w:pPr>
          </w:p>
        </w:tc>
        <w:tc>
          <w:tcPr>
            <w:tcW w:w="1741" w:type="dxa"/>
            <w:vAlign w:val="center"/>
          </w:tcPr>
          <w:p>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639" w:type="dxa"/>
            <w:vAlign w:val="center"/>
          </w:tcPr>
          <w:p>
            <w:pPr>
              <w:spacing w:before="40" w:after="40"/>
              <w:rPr>
                <w:rFonts w:eastAsia="黑体"/>
                <w:szCs w:val="21"/>
                <w:lang w:eastAsia="ja-JP"/>
              </w:rPr>
            </w:pPr>
          </w:p>
        </w:tc>
        <w:tc>
          <w:tcPr>
            <w:tcW w:w="640" w:type="dxa"/>
            <w:vAlign w:val="center"/>
          </w:tcPr>
          <w:p>
            <w:pPr>
              <w:spacing w:before="40" w:after="40"/>
              <w:rPr>
                <w:rFonts w:eastAsia="黑体"/>
                <w:szCs w:val="21"/>
                <w:lang w:eastAsia="ja-JP"/>
              </w:rPr>
            </w:pPr>
          </w:p>
        </w:tc>
        <w:tc>
          <w:tcPr>
            <w:tcW w:w="2290" w:type="dxa"/>
            <w:vAlign w:val="center"/>
          </w:tcPr>
          <w:p>
            <w:pPr>
              <w:spacing w:before="40" w:after="40"/>
              <w:rPr>
                <w:rFonts w:eastAsia="黑体"/>
                <w:szCs w:val="21"/>
                <w:lang w:eastAsia="ja-JP"/>
              </w:rPr>
            </w:pPr>
          </w:p>
        </w:tc>
        <w:tc>
          <w:tcPr>
            <w:tcW w:w="1741" w:type="dxa"/>
            <w:vAlign w:val="center"/>
          </w:tcPr>
          <w:p>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639" w:type="dxa"/>
            <w:vAlign w:val="center"/>
          </w:tcPr>
          <w:p>
            <w:pPr>
              <w:spacing w:before="40" w:after="40"/>
              <w:rPr>
                <w:rFonts w:eastAsia="黑体"/>
                <w:szCs w:val="21"/>
                <w:lang w:eastAsia="ja-JP"/>
              </w:rPr>
            </w:pPr>
          </w:p>
        </w:tc>
        <w:tc>
          <w:tcPr>
            <w:tcW w:w="640" w:type="dxa"/>
            <w:vAlign w:val="center"/>
          </w:tcPr>
          <w:p>
            <w:pPr>
              <w:spacing w:before="40" w:after="40"/>
              <w:rPr>
                <w:rFonts w:eastAsia="黑体"/>
                <w:szCs w:val="21"/>
                <w:lang w:eastAsia="ja-JP"/>
              </w:rPr>
            </w:pPr>
          </w:p>
        </w:tc>
        <w:tc>
          <w:tcPr>
            <w:tcW w:w="2290" w:type="dxa"/>
            <w:vAlign w:val="center"/>
          </w:tcPr>
          <w:p>
            <w:pPr>
              <w:spacing w:before="40" w:after="40"/>
              <w:rPr>
                <w:rFonts w:eastAsia="黑体"/>
                <w:szCs w:val="21"/>
                <w:lang w:eastAsia="ja-JP"/>
              </w:rPr>
            </w:pPr>
          </w:p>
        </w:tc>
        <w:tc>
          <w:tcPr>
            <w:tcW w:w="1741" w:type="dxa"/>
            <w:vAlign w:val="center"/>
          </w:tcPr>
          <w:p>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639" w:type="dxa"/>
            <w:vAlign w:val="center"/>
          </w:tcPr>
          <w:p>
            <w:pPr>
              <w:spacing w:before="40" w:after="40"/>
              <w:rPr>
                <w:rFonts w:eastAsia="黑体"/>
                <w:szCs w:val="21"/>
                <w:lang w:eastAsia="ja-JP"/>
              </w:rPr>
            </w:pPr>
          </w:p>
        </w:tc>
        <w:tc>
          <w:tcPr>
            <w:tcW w:w="640" w:type="dxa"/>
            <w:vAlign w:val="center"/>
          </w:tcPr>
          <w:p>
            <w:pPr>
              <w:spacing w:before="40" w:after="40"/>
              <w:rPr>
                <w:rFonts w:eastAsia="黑体"/>
                <w:szCs w:val="21"/>
                <w:lang w:eastAsia="ja-JP"/>
              </w:rPr>
            </w:pPr>
          </w:p>
        </w:tc>
        <w:tc>
          <w:tcPr>
            <w:tcW w:w="2290" w:type="dxa"/>
            <w:vAlign w:val="center"/>
          </w:tcPr>
          <w:p>
            <w:pPr>
              <w:spacing w:before="40" w:after="40"/>
              <w:rPr>
                <w:rFonts w:eastAsia="黑体"/>
                <w:szCs w:val="21"/>
                <w:lang w:eastAsia="ja-JP"/>
              </w:rPr>
            </w:pPr>
          </w:p>
        </w:tc>
        <w:tc>
          <w:tcPr>
            <w:tcW w:w="1741" w:type="dxa"/>
            <w:vAlign w:val="center"/>
          </w:tcPr>
          <w:p>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r>
              <w:rPr>
                <w:rFonts w:hint="default" w:ascii="Arial" w:hAnsi="Arial" w:cs="Arial"/>
                <w:color w:val="000000"/>
                <w:sz w:val="21"/>
                <w:szCs w:val="21"/>
              </w:rPr>
              <w:t>√</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r>
              <w:rPr>
                <w:rFonts w:hint="default" w:ascii="Arial" w:hAnsi="Arial" w:cs="Arial"/>
                <w:color w:val="000000"/>
                <w:sz w:val="21"/>
                <w:szCs w:val="21"/>
              </w:rPr>
              <w:t>√</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r>
              <w:rPr>
                <w:rFonts w:hint="default" w:ascii="Arial" w:hAnsi="Arial" w:cs="Arial"/>
                <w:color w:val="000000"/>
                <w:sz w:val="21"/>
                <w:szCs w:val="21"/>
              </w:rPr>
              <w:t>√</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r>
              <w:rPr>
                <w:rFonts w:hint="default" w:ascii="Arial" w:hAnsi="Arial" w:cs="Arial"/>
                <w:color w:val="000000"/>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p>
        </w:tc>
        <w:tc>
          <w:tcPr>
            <w:tcW w:w="1637" w:type="dxa"/>
            <w:shd w:val="clear" w:color="auto" w:fill="auto"/>
            <w:vAlign w:val="top"/>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5</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12-13</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 xml:space="preserve">  2021  年  5 月  26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color w:val="000000"/>
                <w:u w:val="single"/>
                <w:lang w:val="en-US" w:eastAsia="zh-CN"/>
              </w:rPr>
              <w:t>原材料检验、配合比、离心浇铸、蒸养、产品检验</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离心浇铸、蒸养、焊接</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产品运输、试块检验</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FF"/>
                <w:szCs w:val="21"/>
              </w:rPr>
            </w:pPr>
            <w:r>
              <w:rPr>
                <w:rFonts w:hint="eastAsia" w:ascii="宋体" w:hAnsi="宋体"/>
                <w:color w:val="auto"/>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auto"/>
                <w:spacing w:val="-10"/>
                <w:szCs w:val="21"/>
              </w:rPr>
            </w:pPr>
            <w:r>
              <w:rPr>
                <w:rFonts w:hint="eastAsia" w:ascii="宋体"/>
                <w:color w:val="auto"/>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auto"/>
                <w:spacing w:val="-10"/>
                <w:szCs w:val="21"/>
              </w:rPr>
            </w:pPr>
            <w:r>
              <w:rPr>
                <w:rFonts w:hint="eastAsia" w:ascii="宋体" w:hAnsi="宋体"/>
                <w:color w:val="auto"/>
                <w:szCs w:val="21"/>
              </w:rPr>
              <w:t>是否有</w:t>
            </w:r>
            <w:r>
              <w:rPr>
                <w:rFonts w:hint="eastAsia" w:ascii="宋体"/>
                <w:color w:val="auto"/>
                <w:szCs w:val="21"/>
              </w:rPr>
              <w:t>型式试验</w:t>
            </w:r>
            <w:r>
              <w:rPr>
                <w:rFonts w:hint="eastAsia" w:ascii="宋体" w:hAnsi="宋体"/>
                <w:color w:val="auto"/>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 xml:space="preserve">采购过程 </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29" w:name="二阶段审核日期"/>
            <w:r>
              <w:rPr>
                <w:rFonts w:hint="eastAsia" w:ascii="宋体"/>
                <w:b/>
                <w:color w:val="000000"/>
                <w:szCs w:val="21"/>
                <w:u w:val="single"/>
              </w:rPr>
              <w:t>2021-08-29</w:t>
            </w:r>
            <w:bookmarkEnd w:id="29"/>
            <w:r>
              <w:rPr>
                <w:rFonts w:hint="eastAsia" w:ascii="宋体"/>
                <w:b/>
                <w:color w:val="000000"/>
                <w:szCs w:val="21"/>
                <w:u w:val="single"/>
                <w:lang w:val="en-US" w:eastAsia="zh-CN"/>
              </w:rPr>
              <w:t>-30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auto"/>
                <w:spacing w:val="-10"/>
                <w:szCs w:val="21"/>
                <w:lang w:val="de-DE"/>
              </w:rPr>
              <w:sym w:font="Wingdings 2" w:char="00A3"/>
            </w:r>
            <w:r>
              <w:rPr>
                <w:rFonts w:hint="eastAsia" w:ascii="宋体" w:hAnsi="宋体"/>
                <w:b/>
                <w:color w:val="auto"/>
                <w:spacing w:val="-10"/>
                <w:szCs w:val="21"/>
              </w:rPr>
              <w:t>有少量问题</w:t>
            </w:r>
            <w:r>
              <w:rPr>
                <w:rFonts w:hint="eastAsia" w:ascii="宋体" w:hAnsi="宋体"/>
                <w:b/>
                <w:color w:val="auto"/>
                <w:szCs w:val="21"/>
              </w:rPr>
              <w:t>存在</w:t>
            </w:r>
            <w:r>
              <w:rPr>
                <w:rFonts w:ascii="宋体" w:hAnsi="宋体"/>
                <w:b/>
                <w:color w:val="auto"/>
                <w:szCs w:val="21"/>
              </w:rPr>
              <w:t xml:space="preserve">, </w:t>
            </w:r>
            <w:r>
              <w:rPr>
                <w:rFonts w:hint="eastAsia" w:ascii="宋体" w:hAnsi="宋体"/>
                <w:b/>
                <w:color w:val="auto"/>
                <w:szCs w:val="21"/>
              </w:rPr>
              <w:t>可进行二阶段审核现场验证，存在的问题可与二阶段不符合项一同整改</w:t>
            </w:r>
            <w:r>
              <w:rPr>
                <w:rFonts w:hint="eastAsia"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bookmarkStart w:id="30" w:name="_GoBack"/>
            <w:bookmarkEnd w:id="30"/>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      年    月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306000FA"/>
    <w:rsid w:val="5A2002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6</TotalTime>
  <ScaleCrop>false</ScaleCrop>
  <LinksUpToDate>false</LinksUpToDate>
  <CharactersWithSpaces>10901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周文迋</cp:lastModifiedBy>
  <dcterms:modified xsi:type="dcterms:W3CDTF">2021-08-31T05:29:46Z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