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咸阳盛宏重型汽车零部件制造有限公司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0039-2019-2021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0039-2019-2021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咸阳盛宏重型汽车零部件制造有限公司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胡工哲</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ISC-2019-0458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2024-07-25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2021年08月26日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李俐</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2021-M1MMS-2222792</w:t>
            </w:r>
          </w:p>
          <w:p>
            <w:pPr>
              <w:tabs>
                <w:tab w:val="left" w:pos="880"/>
              </w:tabs>
              <w:autoSpaceDE w:val="0"/>
              <w:autoSpaceDN w:val="0"/>
              <w:adjustRightInd w:val="0"/>
              <w:spacing w:before="35" w:line="276" w:lineRule="auto"/>
              <w:ind w:right="161" w:firstLine="105" w:firstLineChars="50"/>
              <w:rPr>
                <w:rFonts w:hint="default" w:cs="宋体" w:asciiTheme="minorEastAsia" w:hAnsiTheme="minorEastAsia"/>
                <w:kern w:val="0"/>
                <w:szCs w:val="21"/>
                <w:lang w:val="en-US" w:eastAsia="zh-CN"/>
              </w:rPr>
            </w:pPr>
            <w:r>
              <w:rPr>
                <w:rFonts w:hint="eastAsia" w:cs="宋体" w:asciiTheme="minorEastAsia" w:hAnsiTheme="minorEastAsia"/>
                <w:kern w:val="0"/>
                <w:szCs w:val="21"/>
              </w:rPr>
              <w:t>高研</w:t>
            </w:r>
            <w:r>
              <w:rPr>
                <w:rFonts w:hint="eastAsia" w:cs="宋体" w:asciiTheme="minorEastAsia" w:hAnsiTheme="minorEastAsia"/>
                <w:kern w:val="0"/>
                <w:szCs w:val="21"/>
                <w:lang w:val="en-US" w:eastAsia="zh-CN"/>
              </w:rPr>
              <w:t xml:space="preserve">  2019-M1MMS-1274797</w:t>
            </w:r>
          </w:p>
        </w:tc>
        <w:tc>
          <w:tcPr>
            <w:tcW w:w="1984"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监督审核涉及的区域或部门</w:t>
            </w:r>
          </w:p>
        </w:tc>
        <w:tc>
          <w:tcPr>
            <w:tcW w:w="2268" w:type="dxa"/>
          </w:tcPr>
          <w:p>
            <w:pPr>
              <w:tabs>
                <w:tab w:val="left" w:pos="880"/>
              </w:tabs>
              <w:autoSpaceDE w:val="0"/>
              <w:autoSpaceDN w:val="0"/>
              <w:adjustRightInd w:val="0"/>
              <w:spacing w:before="35" w:line="276" w:lineRule="auto"/>
              <w:ind w:right="161"/>
              <w:rPr>
                <w:rFonts w:hint="eastAsia" w:ascii="宋体" w:hAnsi="宋体" w:cs="宋体"/>
                <w:kern w:val="0"/>
                <w:szCs w:val="21"/>
                <w:lang w:eastAsia="zh-CN"/>
              </w:rPr>
            </w:pPr>
            <w:r>
              <w:rPr>
                <w:rFonts w:hint="eastAsia" w:cs="宋体" w:asciiTheme="minorEastAsia" w:hAnsiTheme="minorEastAsia"/>
                <w:kern w:val="0"/>
                <w:szCs w:val="21"/>
              </w:rPr>
              <w:t>质</w:t>
            </w:r>
            <w:r>
              <w:rPr>
                <w:rFonts w:hint="eastAsia" w:cs="宋体" w:asciiTheme="minorEastAsia" w:hAnsiTheme="minorEastAsia"/>
                <w:kern w:val="0"/>
                <w:szCs w:val="21"/>
                <w:lang w:val="en-US" w:eastAsia="zh-CN"/>
              </w:rPr>
              <w:t>量</w:t>
            </w:r>
            <w:r>
              <w:rPr>
                <w:rFonts w:hint="eastAsia" w:cs="宋体" w:asciiTheme="minorEastAsia" w:hAnsiTheme="minorEastAsia"/>
                <w:kern w:val="0"/>
                <w:szCs w:val="21"/>
              </w:rPr>
              <w:t>部</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综合部</w:t>
            </w:r>
            <w:r>
              <w:rPr>
                <w:rFonts w:hint="eastAsia" w:ascii="宋体" w:hAnsi="宋体" w:cs="宋体"/>
                <w:kern w:val="0"/>
                <w:szCs w:val="21"/>
              </w:rPr>
              <w:t xml:space="preserve"> </w:t>
            </w:r>
            <w:r>
              <w:rPr>
                <w:rFonts w:hint="eastAsia" w:ascii="宋体" w:hAnsi="宋体" w:cs="宋体"/>
                <w:kern w:val="0"/>
                <w:szCs w:val="21"/>
                <w:lang w:eastAsia="zh-CN"/>
              </w:rPr>
              <w:t>、</w:t>
            </w:r>
          </w:p>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生产部</w:t>
            </w:r>
            <w:r>
              <w:rPr>
                <w:rFonts w:hint="eastAsia" w:cs="宋体" w:asciiTheme="minorEastAsia" w:hAnsiTheme="minorEastAsia"/>
                <w:kern w:val="0"/>
                <w:szCs w:val="21"/>
                <w:lang w:eastAsia="zh-CN"/>
              </w:rPr>
              <w:t>、</w:t>
            </w:r>
            <w:r>
              <w:rPr>
                <w:rFonts w:hint="eastAsia" w:cs="宋体" w:asciiTheme="minorEastAsia" w:hAnsiTheme="minorEastAsia"/>
                <w:kern w:val="0"/>
                <w:szCs w:val="21"/>
              </w:rPr>
              <w:t>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1.一年内违反法律法规或重大事故的情况：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09</w:t>
      </w:r>
      <w:r>
        <w:rPr>
          <w:rFonts w:hint="eastAsia" w:cs="宋体" w:asciiTheme="minorEastAsia" w:hAnsiTheme="minorEastAsia"/>
          <w:bCs/>
          <w:color w:val="000000" w:themeColor="text1"/>
          <w:kern w:val="0"/>
          <w:szCs w:val="21"/>
        </w:rPr>
        <w:t>月至今，公司日常运行中生产经营平稳，企业未有违反法律、法规问题和产品质量问题的投诉或重大质量事故发生。企业营业执照等资质未发生变化。</w:t>
      </w:r>
    </w:p>
    <w:p>
      <w:pPr>
        <w:rPr>
          <w:rFonts w:hint="eastAsia" w:ascii="宋体" w:hAnsi="宋体" w:cs="宋体"/>
          <w:bCs/>
          <w:color w:val="000000" w:themeColor="text1"/>
          <w:kern w:val="0"/>
          <w:szCs w:val="21"/>
        </w:rPr>
      </w:pPr>
    </w:p>
    <w:p>
      <w:pPr>
        <w:widowControl/>
        <w:numPr>
          <w:ilvl w:val="0"/>
          <w:numId w:val="1"/>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6</w:t>
      </w:r>
      <w:r>
        <w:rPr>
          <w:rFonts w:hint="eastAsia" w:ascii="宋体" w:hAnsi="宋体"/>
          <w:bCs/>
          <w:color w:val="000000" w:themeColor="text1"/>
          <w:szCs w:val="21"/>
        </w:rPr>
        <w:t>月</w:t>
      </w:r>
      <w:r>
        <w:rPr>
          <w:rFonts w:hint="eastAsia" w:ascii="宋体" w:hAnsi="宋体"/>
          <w:bCs/>
          <w:color w:val="000000" w:themeColor="text1"/>
          <w:szCs w:val="21"/>
          <w:lang w:val="en-US" w:eastAsia="zh-CN"/>
        </w:rPr>
        <w:t>29-30</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4</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7</w:t>
      </w:r>
      <w:r>
        <w:rPr>
          <w:rFonts w:hint="eastAsia" w:ascii="宋体" w:hAnsi="宋体"/>
          <w:bCs/>
          <w:color w:val="000000" w:themeColor="text1"/>
          <w:szCs w:val="21"/>
        </w:rPr>
        <w:t>月</w:t>
      </w:r>
      <w:r>
        <w:rPr>
          <w:rFonts w:hint="eastAsia" w:ascii="宋体" w:hAnsi="宋体"/>
          <w:bCs/>
          <w:color w:val="000000" w:themeColor="text1"/>
          <w:szCs w:val="21"/>
          <w:lang w:val="en-US" w:eastAsia="zh-CN"/>
        </w:rPr>
        <w:t>10</w:t>
      </w:r>
      <w:r>
        <w:rPr>
          <w:rFonts w:hint="eastAsia" w:ascii="宋体" w:hAnsi="宋体"/>
          <w:bCs/>
          <w:color w:val="000000" w:themeColor="text1"/>
          <w:szCs w:val="21"/>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7</w:t>
      </w:r>
      <w:r>
        <w:rPr>
          <w:rFonts w:hint="eastAsia"/>
          <w:color w:val="000000" w:themeColor="text1"/>
          <w:szCs w:val="21"/>
        </w:rPr>
        <w:t>月</w:t>
      </w:r>
      <w:r>
        <w:rPr>
          <w:rFonts w:hint="eastAsia"/>
          <w:color w:val="000000" w:themeColor="text1"/>
          <w:szCs w:val="21"/>
          <w:lang w:val="en-US" w:eastAsia="zh-CN"/>
        </w:rPr>
        <w:t>15</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于海东</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李京沛</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0000" w:themeColor="text1"/>
          <w:sz w:val="21"/>
          <w:szCs w:val="21"/>
        </w:rPr>
      </w:pP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增X关键测量过程：</w:t>
      </w:r>
    </w:p>
    <w:p>
      <w:pPr>
        <w:widowControl/>
        <w:ind w:firstLine="420" w:firstLineChars="200"/>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olor w:val="000000" w:themeColor="text1"/>
        </w:rPr>
        <w:t>活塞叉轴轴径测量过程，计量要求导出方法正确，验证满足测量过程要求。祥见附件《计量要求导出及验证记录表》</w:t>
      </w:r>
    </w:p>
    <w:p>
      <w:pPr>
        <w:widowControl/>
        <w:spacing w:line="276"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olor w:val="000000" w:themeColor="text1"/>
        </w:rPr>
        <w:t>活塞叉轴轴径测量过程，测量不确定度评定正确。祥见附件《测量不确定度评定》</w:t>
      </w:r>
    </w:p>
    <w:p>
      <w:pPr>
        <w:widowControl/>
        <w:spacing w:line="276"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olor w:val="000000" w:themeColor="text1"/>
        </w:rPr>
        <w:t>活塞叉轴轴径测量过程，采用比对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276"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olor w:val="000000" w:themeColor="text1"/>
        </w:rPr>
        <w:t>活塞叉轴轴径测量过程，编制了控制规范，对测量人员、测量设备、测量环境进行控制，满足要求。</w:t>
      </w:r>
    </w:p>
    <w:p>
      <w:pPr>
        <w:widowControl/>
        <w:spacing w:line="276"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olor w:val="000000" w:themeColor="text1"/>
        </w:rPr>
        <w:t>活塞叉轴轴径测量过程，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276" w:lineRule="auto"/>
        <w:ind w:firstLine="420" w:firstLineChars="200"/>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rPr>
        <w:t>公司</w:t>
      </w:r>
      <w:r>
        <w:rPr>
          <w:rFonts w:hint="eastAsia"/>
          <w:color w:val="000000" w:themeColor="text1"/>
          <w:szCs w:val="21"/>
          <w:lang w:val="en-US" w:eastAsia="zh-CN"/>
        </w:rPr>
        <w:t>未建立建立</w:t>
      </w:r>
      <w:r>
        <w:rPr>
          <w:rFonts w:hint="eastAsia"/>
          <w:color w:val="000000" w:themeColor="text1"/>
          <w:szCs w:val="21"/>
        </w:rPr>
        <w:t>标准，测量设备全部送至</w:t>
      </w:r>
      <w:r>
        <w:rPr>
          <w:rFonts w:hint="eastAsia"/>
          <w:color w:val="000000" w:themeColor="text1"/>
          <w:szCs w:val="21"/>
          <w:lang w:val="en-US" w:eastAsia="zh-CN"/>
        </w:rPr>
        <w:t>深圳天溯计量检测股份公司</w:t>
      </w:r>
      <w:r>
        <w:rPr>
          <w:rFonts w:hint="eastAsia"/>
          <w:color w:val="000000" w:themeColor="text1"/>
          <w:szCs w:val="21"/>
        </w:rPr>
        <w:t>，抽查</w:t>
      </w:r>
      <w:r>
        <w:rPr>
          <w:rFonts w:hint="eastAsia"/>
          <w:color w:val="000000" w:themeColor="text1"/>
          <w:szCs w:val="21"/>
          <w:lang w:val="en-US" w:eastAsia="zh-CN"/>
        </w:rPr>
        <w:t>8</w:t>
      </w:r>
      <w:r>
        <w:rPr>
          <w:rFonts w:hint="eastAsia"/>
          <w:color w:val="000000" w:themeColor="text1"/>
          <w:szCs w:val="21"/>
        </w:rPr>
        <w:t>台件测量设备，符合量值溯源性管理的要求。抽查</w:t>
      </w:r>
      <w:r>
        <w:rPr>
          <w:rFonts w:hint="eastAsia"/>
          <w:color w:val="000000" w:themeColor="text1"/>
          <w:szCs w:val="21"/>
          <w:lang w:val="en-US" w:eastAsia="zh-CN"/>
        </w:rPr>
        <w:t>8</w:t>
      </w:r>
      <w:r>
        <w:rPr>
          <w:rFonts w:hint="eastAsia"/>
          <w:color w:val="000000" w:themeColor="text1"/>
          <w:szCs w:val="21"/>
        </w:rPr>
        <w:t>台测量设备检定/校准证书，溯源满足要求。祥见《测量设备溯源检查表》</w:t>
      </w:r>
    </w:p>
    <w:p>
      <w:pPr>
        <w:widowControl/>
        <w:spacing w:line="276" w:lineRule="auto"/>
        <w:rPr>
          <w:color w:val="000000" w:themeColor="text1"/>
          <w:szCs w:val="21"/>
        </w:rPr>
      </w:pPr>
      <w:r>
        <w:rPr>
          <w:rFonts w:hint="eastAsia"/>
          <w:color w:val="000000" w:themeColor="text1"/>
          <w:szCs w:val="21"/>
        </w:rPr>
        <w:t>4.能源管理情况：</w:t>
      </w:r>
    </w:p>
    <w:p>
      <w:pPr>
        <w:widowControl/>
        <w:spacing w:line="276" w:lineRule="auto"/>
        <w:ind w:firstLine="420" w:firstLineChars="200"/>
        <w:rPr>
          <w:rFonts w:hint="eastAsia"/>
          <w:color w:val="000000" w:themeColor="text1"/>
          <w:sz w:val="24"/>
          <w:szCs w:val="24"/>
        </w:rPr>
      </w:pPr>
      <w:r>
        <w:rPr>
          <w:rFonts w:hint="eastAsia" w:ascii="宋体" w:hAnsi="宋体"/>
          <w:color w:val="000000" w:themeColor="text1"/>
          <w:szCs w:val="21"/>
        </w:rPr>
        <w:t>企业主要耗能为电；20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eastAsia="宋体" w:cs="宋体"/>
          <w:color w:val="000000" w:themeColor="text1"/>
          <w:szCs w:val="21"/>
          <w:lang w:val="en-US" w:eastAsia="zh-CN"/>
        </w:rPr>
        <w:t>折合</w:t>
      </w:r>
      <w:r>
        <w:rPr>
          <w:rFonts w:hint="eastAsia" w:ascii="宋体" w:hAnsi="宋体" w:eastAsia="宋体"/>
          <w:bCs/>
          <w:color w:val="000000" w:themeColor="text1"/>
          <w:szCs w:val="21"/>
          <w:lang w:val="en-US" w:eastAsia="zh-CN"/>
        </w:rPr>
        <w:t>140.47</w:t>
      </w:r>
      <w:r>
        <w:rPr>
          <w:rFonts w:hint="eastAsia" w:ascii="宋体" w:hAnsi="宋体" w:eastAsia="宋体"/>
          <w:bCs/>
          <w:color w:val="000000" w:themeColor="text1"/>
          <w:szCs w:val="21"/>
        </w:rPr>
        <w:t>吨标准煤</w:t>
      </w:r>
      <w:r>
        <w:rPr>
          <w:rFonts w:hint="eastAsia" w:ascii="宋体" w:hAnsi="宋体"/>
          <w:color w:val="000000" w:themeColor="text1"/>
          <w:szCs w:val="21"/>
        </w:rPr>
        <w:t>，不是重点耗能企业查企业配备进出公司</w:t>
      </w:r>
      <w:r>
        <w:rPr>
          <w:rFonts w:hint="eastAsia" w:ascii="宋体" w:hAnsi="宋体"/>
          <w:color w:val="000000" w:themeColor="text1"/>
          <w:szCs w:val="21"/>
          <w:lang w:eastAsia="zh-CN"/>
        </w:rPr>
        <w:t>为</w:t>
      </w:r>
      <w:r>
        <w:rPr>
          <w:rFonts w:hint="eastAsia" w:ascii="宋体" w:hAnsi="宋体"/>
          <w:color w:val="000000" w:themeColor="text1"/>
          <w:szCs w:val="21"/>
        </w:rPr>
        <w:t>电能表0.5级，满足要求。配备率符合GB17167－2006要求4.3条款。</w:t>
      </w:r>
    </w:p>
    <w:p>
      <w:pPr>
        <w:widowControl/>
        <w:spacing w:line="276"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276" w:lineRule="auto"/>
        <w:ind w:firstLine="420" w:firstLineChars="200"/>
        <w:rPr>
          <w:rFonts w:hint="eastAsia" w:ascii="宋体" w:hAnsi="宋体" w:eastAsia="宋体"/>
          <w:bCs/>
          <w:color w:val="000000" w:themeColor="text1"/>
          <w:szCs w:val="21"/>
          <w:lang w:val="en-US" w:eastAsia="zh-CN"/>
        </w:rPr>
      </w:pPr>
      <w:r>
        <w:rPr>
          <w:rFonts w:hint="eastAsia" w:ascii="宋体" w:hAnsi="宋体" w:eastAsia="宋体"/>
          <w:bCs/>
          <w:color w:val="000000" w:themeColor="text1"/>
          <w:szCs w:val="21"/>
        </w:rPr>
        <w:t>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年外审开出了一项不符合项报告：</w:t>
      </w:r>
      <w:r>
        <w:rPr>
          <w:rFonts w:hint="eastAsia" w:ascii="宋体" w:hAnsi="宋体" w:eastAsia="宋体"/>
          <w:bCs/>
          <w:color w:val="000000" w:themeColor="text1"/>
          <w:szCs w:val="21"/>
          <w:lang w:val="en-US" w:eastAsia="zh-CN"/>
        </w:rPr>
        <w:t xml:space="preserve"> “查质量部未</w:t>
      </w:r>
      <w:r>
        <w:rPr>
          <w:rFonts w:hint="eastAsia" w:ascii="宋体" w:hAnsi="宋体" w:eastAsia="宋体"/>
          <w:bCs/>
          <w:color w:val="000000" w:themeColor="text1"/>
          <w:szCs w:val="21"/>
        </w:rPr>
        <w:t>对</w:t>
      </w:r>
      <w:r>
        <w:rPr>
          <w:rFonts w:hint="eastAsia" w:ascii="宋体" w:hAnsi="宋体" w:eastAsia="宋体"/>
          <w:bCs/>
          <w:color w:val="000000" w:themeColor="text1"/>
          <w:szCs w:val="21"/>
          <w:lang w:val="en-US" w:eastAsia="zh-CN"/>
        </w:rPr>
        <w:t>深圳天溯计量检测股份有限公司的资质、授权范围</w:t>
      </w:r>
      <w:r>
        <w:rPr>
          <w:rFonts w:hint="eastAsia" w:ascii="宋体" w:hAnsi="宋体" w:eastAsia="宋体"/>
          <w:bCs/>
          <w:color w:val="000000" w:themeColor="text1"/>
          <w:szCs w:val="21"/>
          <w:lang w:eastAsia="zh-CN"/>
        </w:rPr>
        <w:t>进行评价，</w:t>
      </w:r>
      <w:r>
        <w:rPr>
          <w:rFonts w:hint="eastAsia" w:ascii="宋体" w:hAnsi="宋体" w:eastAsia="宋体"/>
          <w:bCs/>
          <w:color w:val="000000" w:themeColor="text1"/>
          <w:szCs w:val="21"/>
          <w:lang w:val="en-US" w:eastAsia="zh-CN"/>
        </w:rPr>
        <w:t>不符合GB/T19022-2003标准6.4条款的要求。”</w:t>
      </w:r>
    </w:p>
    <w:p>
      <w:pPr>
        <w:widowControl/>
        <w:spacing w:line="276"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企业对不符合组织了纠正，</w:t>
      </w:r>
      <w:r>
        <w:rPr>
          <w:rFonts w:hint="eastAsia" w:ascii="宋体" w:hAnsi="宋体" w:eastAsia="宋体"/>
          <w:bCs/>
          <w:color w:val="000000" w:themeColor="text1"/>
          <w:szCs w:val="21"/>
          <w:lang w:val="en-US" w:eastAsia="zh-CN"/>
        </w:rPr>
        <w:t>1。按照计量外部供方管理程序</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lang w:val="en-US" w:eastAsia="zh-CN"/>
        </w:rPr>
        <w:t>对外部供方能力进行评价和选择，并做好相应记录</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lang w:eastAsia="zh-CN"/>
        </w:rPr>
        <w:t>对相关人员进行</w:t>
      </w:r>
      <w:r>
        <w:rPr>
          <w:rFonts w:hint="eastAsia" w:ascii="宋体" w:hAnsi="宋体" w:eastAsia="宋体"/>
          <w:bCs/>
          <w:color w:val="000000" w:themeColor="text1"/>
          <w:szCs w:val="21"/>
        </w:rPr>
        <w:t>GB/T19022:2003标准6.4条</w:t>
      </w:r>
      <w:r>
        <w:rPr>
          <w:rFonts w:hint="eastAsia" w:ascii="宋体" w:hAnsi="宋体" w:eastAsia="宋体"/>
          <w:bCs/>
          <w:color w:val="000000" w:themeColor="text1"/>
          <w:szCs w:val="21"/>
          <w:lang w:eastAsia="zh-CN"/>
        </w:rPr>
        <w:t>培训，确保以后不再出现此类问题。</w:t>
      </w:r>
      <w:r>
        <w:rPr>
          <w:rFonts w:hint="eastAsia" w:ascii="宋体" w:hAnsi="宋体" w:eastAsia="宋体"/>
          <w:bCs/>
          <w:color w:val="000000" w:themeColor="text1"/>
          <w:szCs w:val="21"/>
          <w:lang w:val="en-US" w:eastAsia="zh-CN"/>
        </w:rPr>
        <w:t>经</w:t>
      </w:r>
      <w:r>
        <w:rPr>
          <w:rFonts w:hint="eastAsia" w:ascii="宋体" w:hAnsi="宋体" w:eastAsia="宋体"/>
          <w:bCs/>
          <w:color w:val="000000" w:themeColor="text1"/>
          <w:szCs w:val="21"/>
        </w:rPr>
        <w:t>验证该不符合项纠正措施有效，同意关闭。</w:t>
      </w:r>
    </w:p>
    <w:p>
      <w:pPr>
        <w:widowControl/>
        <w:numPr>
          <w:ilvl w:val="0"/>
          <w:numId w:val="2"/>
        </w:numPr>
        <w:spacing w:line="276"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2"/>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276"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年1月到</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月质量目标完成情况检查表</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rPr>
        <w:t>目标、措施、完成情况</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rPr>
        <w:t>记录内容全，每月统计，质量目标管理满足要求。</w:t>
      </w:r>
    </w:p>
    <w:p>
      <w:pPr>
        <w:widowControl/>
        <w:numPr>
          <w:ilvl w:val="0"/>
          <w:numId w:val="2"/>
        </w:numPr>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276"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2"/>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276"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w:t>
      </w:r>
      <w:r>
        <w:rPr>
          <w:rFonts w:hint="eastAsia" w:cs="宋体" w:asciiTheme="minorEastAsia" w:hAnsiTheme="minorEastAsia"/>
          <w:bCs/>
          <w:color w:val="000000" w:themeColor="text1"/>
          <w:kern w:val="0"/>
          <w:szCs w:val="21"/>
          <w:lang w:val="en-US" w:eastAsia="zh-CN"/>
        </w:rPr>
        <w:t xml:space="preserve">  </w:t>
      </w:r>
      <w:r>
        <w:rPr>
          <w:rFonts w:hint="eastAsia" w:cs="宋体" w:asciiTheme="minorEastAsia" w:hAnsiTheme="minorEastAsia"/>
          <w:bCs/>
          <w:color w:val="000000" w:themeColor="text1"/>
          <w:kern w:val="0"/>
          <w:szCs w:val="21"/>
        </w:rPr>
        <w:t>用于企业的形象宣传。</w:t>
      </w:r>
    </w:p>
    <w:p>
      <w:pPr>
        <w:widowControl/>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本次监督审核共出具一般不符合</w:t>
      </w:r>
      <w:r>
        <w:rPr>
          <w:rFonts w:hint="eastAsia" w:asciiTheme="minorEastAsia" w:hAnsiTheme="minorEastAsia"/>
          <w:bCs/>
          <w:color w:val="000000" w:themeColor="text1"/>
          <w:szCs w:val="21"/>
          <w:lang w:val="en-US" w:eastAsia="zh-CN"/>
        </w:rPr>
        <w:t>项1项</w:t>
      </w:r>
      <w:r>
        <w:rPr>
          <w:rFonts w:hint="eastAsia" w:asciiTheme="minorEastAsia" w:hAnsiTheme="minorEastAsia"/>
          <w:bCs/>
          <w:color w:val="000000" w:themeColor="text1"/>
          <w:szCs w:val="21"/>
        </w:rPr>
        <w:t>，未发现严重的或系统性的不符合情况：</w:t>
      </w:r>
    </w:p>
    <w:p>
      <w:pPr>
        <w:widowControl/>
        <w:spacing w:line="360" w:lineRule="auto"/>
        <w:rPr>
          <w:rFonts w:hint="eastAsia"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 xml:space="preserve">10.1  </w:t>
      </w:r>
      <w:bookmarkStart w:id="11" w:name="_GoBack"/>
      <w:r>
        <w:rPr>
          <w:rFonts w:hint="eastAsia" w:asciiTheme="minorEastAsia" w:hAnsiTheme="minorEastAsia"/>
          <w:bCs/>
          <w:color w:val="000000" w:themeColor="text1"/>
          <w:szCs w:val="21"/>
          <w:lang w:val="en-US" w:eastAsia="zh-CN"/>
        </w:rPr>
        <w:t>查生产部，</w:t>
      </w:r>
      <w:r>
        <w:rPr>
          <w:rFonts w:hint="eastAsia" w:ascii="宋体" w:hAnsi="宋体" w:cs="宋体"/>
          <w:color w:val="000000" w:themeColor="text1"/>
          <w:kern w:val="0"/>
          <w:szCs w:val="21"/>
          <w:lang w:val="en-US" w:eastAsia="zh-CN"/>
        </w:rPr>
        <w:t>编号SHYLB-04  （0-1MPa）的压力表，校准证书为2020.4.2，未按要求进行有效溯源，</w:t>
      </w:r>
      <w:r>
        <w:rPr>
          <w:rFonts w:hint="eastAsia" w:asciiTheme="minorEastAsia" w:hAnsiTheme="minorEastAsia"/>
          <w:bCs/>
          <w:color w:val="000000" w:themeColor="text1"/>
          <w:szCs w:val="21"/>
          <w:lang w:val="en-US" w:eastAsia="zh-CN"/>
        </w:rPr>
        <w:t>不符合GB/T19022-2003标准7.3.2条款的要求。</w:t>
      </w:r>
      <w:bookmarkEnd w:id="11"/>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8</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26日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Cs w:val="21"/>
        </w:rPr>
        <w:t>咸阳盛宏重型汽车零部件制造有限公司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w:t>
      </w:r>
      <w:r>
        <w:rPr>
          <w:rFonts w:hint="eastAsia" w:ascii="宋体" w:hAnsi="宋体"/>
          <w:color w:val="000000" w:themeColor="text1"/>
          <w:szCs w:val="21"/>
          <w:lang w:val="en-US" w:eastAsia="zh-CN"/>
        </w:rPr>
        <w:t>关</w:t>
      </w:r>
      <w:r>
        <w:rPr>
          <w:rFonts w:hint="eastAsia" w:ascii="宋体" w:hAnsi="宋体"/>
          <w:color w:val="000000" w:themeColor="text1"/>
          <w:szCs w:val="21"/>
        </w:rPr>
        <w:t>键测量过程受控、监视方法正确有效，重要测量人员能力受控，测量设备、测量环境、测量软件、测量记录及外部供方管理等各项工作。综上所述，审核组认为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咸阳盛宏重型汽车零部件制造有限公司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1409700</wp:posOffset>
            </wp:positionH>
            <wp:positionV relativeFrom="paragraph">
              <wp:posOffset>-17145</wp:posOffset>
            </wp:positionV>
            <wp:extent cx="389255" cy="299720"/>
            <wp:effectExtent l="0" t="0" r="4445" b="508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389255" cy="299720"/>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2021.8.26</w:t>
      </w:r>
    </w:p>
    <w:p>
      <w:pPr>
        <w:widowControl/>
        <w:spacing w:line="360" w:lineRule="auto"/>
        <w:jc w:val="left"/>
        <w:rPr>
          <w:rFonts w:ascii="宋体" w:hAnsi="宋体" w:eastAsia="宋体" w:cs="宋体"/>
          <w:kern w:val="0"/>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1394460</wp:posOffset>
            </wp:positionH>
            <wp:positionV relativeFrom="paragraph">
              <wp:posOffset>245745</wp:posOffset>
            </wp:positionV>
            <wp:extent cx="524510" cy="387350"/>
            <wp:effectExtent l="0" t="0" r="8890" b="6350"/>
            <wp:wrapNone/>
            <wp:docPr id="1" name="图片 1" descr="0497ac1b1864787d246569f5711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97ac1b1864787d246569f57118971"/>
                    <pic:cNvPicPr>
                      <a:picLocks noChangeAspect="1"/>
                    </pic:cNvPicPr>
                  </pic:nvPicPr>
                  <pic:blipFill>
                    <a:blip r:embed="rId7"/>
                    <a:srcRect l="25133" t="17259" r="25362" b="34010"/>
                    <a:stretch>
                      <a:fillRect/>
                    </a:stretch>
                  </pic:blipFill>
                  <pic:spPr>
                    <a:xfrm>
                      <a:off x="0" y="0"/>
                      <a:ext cx="524510" cy="387350"/>
                    </a:xfrm>
                    <a:prstGeom prst="rect">
                      <a:avLst/>
                    </a:prstGeom>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2021.8.26</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D4950"/>
    <w:multiLevelType w:val="singleLevel"/>
    <w:tmpl w:val="CCED4950"/>
    <w:lvl w:ilvl="0" w:tentative="0">
      <w:start w:val="2"/>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8B4374"/>
    <w:rsid w:val="3D125B63"/>
    <w:rsid w:val="3DD46A9F"/>
    <w:rsid w:val="40F67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2021-08-26T07:55:34Z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80E861A5541F42B1BB1EC039BDAD3FDC</vt:lpwstr>
  </property>
</Properties>
</file>