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080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1164"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809" w:type="dxa"/>
            <w:vAlign w:val="center"/>
          </w:tcPr>
          <w:p>
            <w:pPr>
              <w:spacing w:line="360" w:lineRule="auto"/>
              <w:rPr>
                <w:sz w:val="24"/>
                <w:szCs w:val="24"/>
              </w:rPr>
            </w:pPr>
            <w:r>
              <w:rPr>
                <w:rFonts w:hint="eastAsia"/>
                <w:sz w:val="24"/>
                <w:szCs w:val="24"/>
              </w:rPr>
              <w:t xml:space="preserve">受审核部门： 管理部(含财务），管理部主任：许静 </w:t>
            </w:r>
            <w:r>
              <w:rPr>
                <w:sz w:val="24"/>
                <w:szCs w:val="24"/>
              </w:rPr>
              <w:t xml:space="preserve">    </w:t>
            </w:r>
            <w:r>
              <w:rPr>
                <w:rFonts w:hint="eastAsia"/>
                <w:sz w:val="24"/>
                <w:szCs w:val="24"/>
              </w:rPr>
              <w:t xml:space="preserve"> 陪同人员：</w:t>
            </w:r>
            <w:r>
              <w:rPr>
                <w:rFonts w:hint="eastAsia"/>
              </w:rPr>
              <w:t>刘猛</w:t>
            </w:r>
          </w:p>
        </w:tc>
        <w:tc>
          <w:tcPr>
            <w:tcW w:w="780"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spacing w:line="360" w:lineRule="auto"/>
            </w:pPr>
          </w:p>
        </w:tc>
        <w:tc>
          <w:tcPr>
            <w:tcW w:w="1164" w:type="dxa"/>
            <w:vMerge w:val="continue"/>
            <w:vAlign w:val="center"/>
          </w:tcPr>
          <w:p>
            <w:pPr>
              <w:spacing w:line="360" w:lineRule="auto"/>
            </w:pPr>
          </w:p>
        </w:tc>
        <w:tc>
          <w:tcPr>
            <w:tcW w:w="10809" w:type="dxa"/>
            <w:vAlign w:val="center"/>
          </w:tcPr>
          <w:p>
            <w:pPr>
              <w:spacing w:before="120" w:line="360" w:lineRule="auto"/>
            </w:pPr>
            <w:r>
              <w:rPr>
                <w:rFonts w:hint="eastAsia"/>
                <w:sz w:val="24"/>
                <w:szCs w:val="24"/>
              </w:rPr>
              <w:t>审核员：</w:t>
            </w:r>
            <w:r>
              <w:rPr>
                <w:rFonts w:hint="eastAsia"/>
                <w:sz w:val="24"/>
                <w:szCs w:val="24"/>
                <w:lang w:val="en-US" w:eastAsia="zh-CN"/>
              </w:rPr>
              <w:t>郭力</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9</w:t>
            </w:r>
            <w:r>
              <w:rPr>
                <w:rFonts w:hint="eastAsia"/>
                <w:sz w:val="24"/>
                <w:szCs w:val="24"/>
              </w:rPr>
              <w:t>日</w:t>
            </w:r>
          </w:p>
        </w:tc>
        <w:tc>
          <w:tcPr>
            <w:tcW w:w="780"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spacing w:line="360" w:lineRule="auto"/>
            </w:pPr>
          </w:p>
        </w:tc>
        <w:tc>
          <w:tcPr>
            <w:tcW w:w="1164" w:type="dxa"/>
            <w:vMerge w:val="continue"/>
            <w:vAlign w:val="center"/>
          </w:tcPr>
          <w:p>
            <w:pPr>
              <w:spacing w:line="360" w:lineRule="auto"/>
            </w:pPr>
          </w:p>
        </w:tc>
        <w:tc>
          <w:tcPr>
            <w:tcW w:w="10809" w:type="dxa"/>
            <w:vAlign w:val="center"/>
          </w:tcPr>
          <w:p>
            <w:pPr>
              <w:spacing w:before="120" w:line="360" w:lineRule="auto"/>
              <w:rPr>
                <w:sz w:val="24"/>
                <w:szCs w:val="24"/>
              </w:rPr>
            </w:pPr>
            <w:r>
              <w:rPr>
                <w:rFonts w:hint="eastAsia"/>
                <w:sz w:val="24"/>
                <w:szCs w:val="24"/>
              </w:rPr>
              <w:t>审核条款：</w:t>
            </w:r>
          </w:p>
          <w:p>
            <w:pPr>
              <w:spacing w:before="120" w:line="360" w:lineRule="auto"/>
              <w:rPr>
                <w:sz w:val="24"/>
                <w:szCs w:val="24"/>
              </w:rPr>
            </w:pPr>
            <w:r>
              <w:rPr>
                <w:rFonts w:hint="eastAsia"/>
                <w:sz w:val="24"/>
                <w:szCs w:val="24"/>
              </w:rPr>
              <w:t>E:5.3/6.1.2/6.1.1/6.1.3/6.2/7.2/7.3/7.4/8.1/8.2/9.2/10.2/9.1.1/9.1.2</w:t>
            </w:r>
            <w:bookmarkStart w:id="0" w:name="_GoBack"/>
            <w:bookmarkEnd w:id="0"/>
          </w:p>
        </w:tc>
        <w:tc>
          <w:tcPr>
            <w:tcW w:w="780"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spacing w:line="360" w:lineRule="auto"/>
            </w:pPr>
            <w:r>
              <w:rPr>
                <w:rFonts w:hint="eastAsia"/>
                <w:szCs w:val="21"/>
              </w:rPr>
              <w:t>组织的岗位、职责权限</w:t>
            </w:r>
          </w:p>
        </w:tc>
        <w:tc>
          <w:tcPr>
            <w:tcW w:w="1164" w:type="dxa"/>
          </w:tcPr>
          <w:p>
            <w:pPr>
              <w:spacing w:line="360" w:lineRule="auto"/>
              <w:rPr>
                <w:szCs w:val="21"/>
              </w:rPr>
            </w:pPr>
            <w:r>
              <w:rPr>
                <w:rFonts w:hint="eastAsia"/>
                <w:szCs w:val="21"/>
              </w:rPr>
              <w:t>E5.3</w:t>
            </w:r>
          </w:p>
          <w:p>
            <w:pPr>
              <w:spacing w:line="360" w:lineRule="auto"/>
            </w:pPr>
          </w:p>
        </w:tc>
        <w:tc>
          <w:tcPr>
            <w:tcW w:w="10809" w:type="dxa"/>
          </w:tcPr>
          <w:p>
            <w:pPr>
              <w:spacing w:line="360" w:lineRule="auto"/>
              <w:ind w:left="422" w:leftChars="201" w:right="422" w:rightChars="201" w:firstLine="2"/>
              <w:rPr>
                <w:rFonts w:ascii="宋体" w:hAnsi="宋体" w:cs="宋体"/>
                <w:szCs w:val="21"/>
              </w:rPr>
            </w:pPr>
            <w:r>
              <w:rPr>
                <w:rFonts w:ascii="宋体" w:hAnsi="宋体" w:cs="宋体"/>
                <w:szCs w:val="21"/>
              </w:rPr>
              <w:t>1.</w:t>
            </w:r>
            <w:r>
              <w:rPr>
                <w:rFonts w:hint="eastAsia" w:ascii="宋体" w:hAnsi="宋体" w:cs="宋体"/>
                <w:szCs w:val="21"/>
              </w:rPr>
              <w:t>负责组织各部门编制该部门内岗位职责；</w:t>
            </w:r>
          </w:p>
          <w:p>
            <w:pPr>
              <w:spacing w:line="360" w:lineRule="auto"/>
              <w:ind w:left="422" w:leftChars="201" w:right="422" w:rightChars="201" w:firstLine="2"/>
              <w:rPr>
                <w:rFonts w:ascii="宋体" w:hAnsi="宋体" w:cs="宋体"/>
                <w:szCs w:val="21"/>
              </w:rPr>
            </w:pPr>
            <w:r>
              <w:rPr>
                <w:rFonts w:ascii="宋体" w:hAnsi="宋体" w:cs="宋体"/>
                <w:szCs w:val="21"/>
              </w:rPr>
              <w:t>2.</w:t>
            </w:r>
            <w:r>
              <w:rPr>
                <w:rFonts w:hint="eastAsia" w:ascii="宋体" w:hAnsi="宋体" w:cs="宋体"/>
                <w:szCs w:val="21"/>
              </w:rPr>
              <w:t>负责提供能胜任的从事产品环境工作的人员；</w:t>
            </w:r>
          </w:p>
          <w:p>
            <w:pPr>
              <w:spacing w:line="360" w:lineRule="auto"/>
              <w:ind w:left="422" w:leftChars="201" w:right="422" w:rightChars="201" w:firstLine="2"/>
              <w:rPr>
                <w:rFonts w:ascii="宋体" w:hAnsi="宋体" w:cs="宋体"/>
                <w:szCs w:val="21"/>
              </w:rPr>
            </w:pPr>
            <w:r>
              <w:rPr>
                <w:rFonts w:ascii="宋体" w:hAnsi="宋体" w:cs="宋体"/>
                <w:szCs w:val="21"/>
              </w:rPr>
              <w:t>3.</w:t>
            </w:r>
            <w:r>
              <w:rPr>
                <w:rFonts w:hint="eastAsia" w:ascii="宋体" w:hAnsi="宋体" w:cs="宋体"/>
                <w:szCs w:val="21"/>
              </w:rPr>
              <w:t>负责培训计划的制定及监督实施，组织对培训效果进行评估；</w:t>
            </w:r>
          </w:p>
          <w:p>
            <w:pPr>
              <w:spacing w:line="360" w:lineRule="auto"/>
              <w:ind w:left="422" w:leftChars="201" w:right="422" w:rightChars="201" w:firstLine="2"/>
              <w:rPr>
                <w:rFonts w:ascii="宋体" w:hAnsi="宋体" w:cs="宋体"/>
                <w:szCs w:val="21"/>
              </w:rPr>
            </w:pPr>
            <w:r>
              <w:rPr>
                <w:rFonts w:ascii="宋体" w:hAnsi="宋体" w:cs="宋体"/>
                <w:szCs w:val="21"/>
              </w:rPr>
              <w:t>4.</w:t>
            </w:r>
            <w:r>
              <w:rPr>
                <w:rFonts w:hint="eastAsia" w:ascii="宋体" w:hAnsi="宋体" w:cs="宋体"/>
                <w:szCs w:val="21"/>
              </w:rPr>
              <w:t>负责公司后勤管理消防安全防范工作、运输车辆的管控；</w:t>
            </w:r>
          </w:p>
          <w:p>
            <w:pPr>
              <w:spacing w:line="360" w:lineRule="auto"/>
              <w:ind w:left="422" w:leftChars="201" w:right="422" w:rightChars="201" w:firstLine="2"/>
              <w:rPr>
                <w:rFonts w:ascii="宋体" w:hAnsi="宋体" w:cs="宋体"/>
                <w:szCs w:val="21"/>
              </w:rPr>
            </w:pPr>
            <w:r>
              <w:rPr>
                <w:rFonts w:ascii="宋体" w:hAnsi="宋体" w:cs="宋体"/>
                <w:szCs w:val="21"/>
              </w:rPr>
              <w:t>5.</w:t>
            </w:r>
            <w:r>
              <w:rPr>
                <w:rFonts w:hint="eastAsia" w:ascii="宋体" w:hAnsi="宋体" w:cs="宋体"/>
                <w:szCs w:val="21"/>
              </w:rPr>
              <w:t>负责公司的环境法规收集和合规性评价；</w:t>
            </w:r>
          </w:p>
          <w:p>
            <w:pPr>
              <w:spacing w:line="360" w:lineRule="auto"/>
              <w:ind w:left="422" w:leftChars="201" w:right="422" w:rightChars="201" w:firstLine="2"/>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负责组织各部门进行环境因素识别和评价；</w:t>
            </w:r>
          </w:p>
          <w:p>
            <w:pPr>
              <w:spacing w:line="360" w:lineRule="auto"/>
              <w:ind w:left="422" w:leftChars="201" w:right="422" w:rightChars="201" w:firstLine="2"/>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负责制订公司的环境管理方案并监督各部门实施；</w:t>
            </w:r>
          </w:p>
          <w:p>
            <w:pPr>
              <w:spacing w:line="360" w:lineRule="auto"/>
              <w:ind w:left="422" w:leftChars="201" w:right="422" w:rightChars="201" w:firstLine="2"/>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负责定期委托第三方进行环境关键绩效监测。</w:t>
            </w:r>
          </w:p>
          <w:p>
            <w:pPr>
              <w:spacing w:line="360" w:lineRule="auto"/>
              <w:ind w:left="422" w:leftChars="201" w:right="422" w:rightChars="201" w:firstLine="2"/>
              <w:rPr>
                <w:rFonts w:ascii="宋体" w:hAnsi="宋体" w:cs="宋体"/>
                <w:szCs w:val="21"/>
              </w:rPr>
            </w:pPr>
            <w:r>
              <w:rPr>
                <w:rFonts w:hint="eastAsia" w:ascii="宋体" w:hAnsi="宋体" w:cs="宋体"/>
                <w:szCs w:val="21"/>
              </w:rPr>
              <w:t>9</w:t>
            </w:r>
            <w:r>
              <w:rPr>
                <w:rFonts w:ascii="宋体" w:hAnsi="宋体" w:cs="宋体"/>
                <w:szCs w:val="21"/>
              </w:rPr>
              <w:t xml:space="preserve">. </w:t>
            </w:r>
            <w:r>
              <w:rPr>
                <w:rFonts w:hint="eastAsia" w:ascii="宋体" w:hAnsi="宋体" w:cs="宋体"/>
                <w:szCs w:val="21"/>
              </w:rPr>
              <w:t>全厂环境卫生，包括员工食宿清洁卫生的监管</w:t>
            </w:r>
          </w:p>
          <w:p>
            <w:pPr>
              <w:spacing w:line="360" w:lineRule="auto"/>
              <w:ind w:left="422" w:leftChars="201" w:right="422" w:rightChars="201" w:firstLine="2"/>
              <w:rPr>
                <w:rFonts w:ascii="宋体" w:hAnsi="宋体" w:cs="宋体"/>
                <w:szCs w:val="21"/>
              </w:rPr>
            </w:pPr>
            <w:r>
              <w:rPr>
                <w:rFonts w:ascii="宋体" w:hAnsi="宋体" w:cs="宋体"/>
                <w:szCs w:val="21"/>
              </w:rPr>
              <w:t>3.</w:t>
            </w:r>
            <w:r>
              <w:rPr>
                <w:rFonts w:hint="eastAsia" w:ascii="宋体" w:hAnsi="宋体" w:cs="宋体"/>
                <w:szCs w:val="21"/>
              </w:rPr>
              <w:t>负责部门环境因素识别并执行公司环境管理方案</w:t>
            </w:r>
          </w:p>
          <w:p>
            <w:pPr>
              <w:spacing w:line="360" w:lineRule="auto"/>
              <w:ind w:left="422" w:leftChars="201" w:right="422" w:rightChars="201" w:firstLine="2"/>
              <w:rPr>
                <w:rFonts w:ascii="宋体" w:hAnsi="宋体" w:cs="宋体"/>
                <w:szCs w:val="21"/>
              </w:rPr>
            </w:pPr>
            <w:r>
              <w:rPr>
                <w:rFonts w:ascii="宋体" w:hAnsi="宋体" w:cs="宋体"/>
                <w:szCs w:val="21"/>
              </w:rPr>
              <w:t>4</w:t>
            </w:r>
            <w:r>
              <w:rPr>
                <w:rFonts w:hint="eastAsia" w:ascii="宋体" w:hAnsi="宋体" w:cs="宋体"/>
                <w:szCs w:val="21"/>
              </w:rPr>
              <w:t>．负责参与公司应急演练。</w:t>
            </w:r>
          </w:p>
          <w:p>
            <w:pPr>
              <w:spacing w:line="360" w:lineRule="auto"/>
              <w:ind w:firstLine="420" w:firstLineChars="200"/>
            </w:pP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6"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目标、指标管理方案</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rPr>
            </w:pPr>
          </w:p>
        </w:tc>
        <w:tc>
          <w:tcPr>
            <w:tcW w:w="1164"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E6.2  </w:t>
            </w:r>
          </w:p>
          <w:p>
            <w:pPr>
              <w:spacing w:line="360" w:lineRule="auto"/>
              <w:rPr>
                <w:rFonts w:asciiTheme="minorEastAsia" w:hAnsiTheme="minorEastAsia" w:eastAsiaTheme="minorEastAsia" w:cstheme="minorEastAsia"/>
              </w:rPr>
            </w:pPr>
          </w:p>
        </w:tc>
        <w:tc>
          <w:tcPr>
            <w:tcW w:w="10809" w:type="dxa"/>
          </w:tcPr>
          <w:p>
            <w:pPr>
              <w:spacing w:line="360" w:lineRule="auto"/>
              <w:ind w:firstLine="420" w:firstLineChars="200"/>
              <w:rPr>
                <w:rFonts w:ascii="宋体" w:hAnsi="宋体" w:cs="宋体"/>
                <w:szCs w:val="21"/>
              </w:rPr>
            </w:pPr>
            <w:r>
              <w:rPr>
                <w:rFonts w:hint="eastAsia" w:ascii="宋体" w:hAnsi="宋体" w:cs="宋体"/>
                <w:szCs w:val="21"/>
              </w:rPr>
              <w:t>执行《管理手册》及《方针目标管理制度》</w:t>
            </w:r>
          </w:p>
          <w:p>
            <w:pPr>
              <w:spacing w:line="360" w:lineRule="auto"/>
              <w:ind w:firstLine="420" w:firstLineChars="200"/>
              <w:rPr>
                <w:rFonts w:ascii="宋体" w:hAnsi="宋体" w:cs="宋体"/>
                <w:szCs w:val="21"/>
              </w:rPr>
            </w:pPr>
            <w:r>
              <w:rPr>
                <w:rFonts w:hint="eastAsia" w:ascii="宋体" w:hAnsi="宋体" w:cs="宋体"/>
                <w:szCs w:val="21"/>
              </w:rPr>
              <w:t>部门目标：                         考核情况</w:t>
            </w:r>
          </w:p>
          <w:p>
            <w:pPr>
              <w:spacing w:line="360" w:lineRule="auto"/>
              <w:rPr>
                <w:szCs w:val="22"/>
              </w:rPr>
            </w:pPr>
            <w:r>
              <w:rPr>
                <w:rFonts w:hint="eastAsia"/>
                <w:szCs w:val="22"/>
              </w:rPr>
              <w:t>固体废弃物分类处理率100%；            100%</w:t>
            </w:r>
          </w:p>
          <w:p>
            <w:pPr>
              <w:pStyle w:val="11"/>
              <w:spacing w:line="360" w:lineRule="auto"/>
              <w:rPr>
                <w:spacing w:val="0"/>
                <w:sz w:val="24"/>
                <w:szCs w:val="22"/>
              </w:rPr>
            </w:pPr>
            <w:r>
              <w:rPr>
                <w:rFonts w:hint="eastAsia"/>
                <w:spacing w:val="0"/>
                <w:sz w:val="24"/>
                <w:szCs w:val="22"/>
              </w:rPr>
              <w:t xml:space="preserve">火灾事故为0                  </w:t>
            </w:r>
            <w:r>
              <w:rPr>
                <w:spacing w:val="0"/>
                <w:sz w:val="24"/>
                <w:szCs w:val="22"/>
              </w:rPr>
              <w:t xml:space="preserve">    </w:t>
            </w:r>
            <w:r>
              <w:rPr>
                <w:rFonts w:hint="eastAsia"/>
                <w:spacing w:val="0"/>
                <w:sz w:val="24"/>
                <w:szCs w:val="22"/>
              </w:rPr>
              <w:t xml:space="preserve">  0</w:t>
            </w:r>
          </w:p>
          <w:p>
            <w:pPr>
              <w:pStyle w:val="11"/>
              <w:spacing w:line="360" w:lineRule="auto"/>
            </w:pPr>
            <w:r>
              <w:rPr>
                <w:rFonts w:hint="eastAsia"/>
                <w:spacing w:val="0"/>
                <w:sz w:val="24"/>
                <w:szCs w:val="22"/>
              </w:rPr>
              <w:t>环境污染事故为0</w:t>
            </w:r>
            <w:r>
              <w:rPr>
                <w:spacing w:val="0"/>
                <w:sz w:val="24"/>
                <w:szCs w:val="22"/>
              </w:rPr>
              <w:t xml:space="preserve">                    </w:t>
            </w:r>
            <w:r>
              <w:rPr>
                <w:rFonts w:hint="eastAsia"/>
                <w:spacing w:val="0"/>
                <w:sz w:val="24"/>
                <w:szCs w:val="22"/>
              </w:rPr>
              <w:t>0</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提供2021年1-8月目标完成情况统计表，2021.8.31，目标均完成</w:t>
            </w:r>
          </w:p>
          <w:p>
            <w:pPr>
              <w:spacing w:line="360" w:lineRule="auto"/>
              <w:ind w:firstLine="420" w:firstLineChars="200"/>
              <w:rPr>
                <w:szCs w:val="21"/>
              </w:rPr>
            </w:pPr>
            <w:r>
              <w:rPr>
                <w:rFonts w:hint="eastAsia"/>
                <w:szCs w:val="21"/>
              </w:rPr>
              <w:t>对以上的目标指标制定了管理方案：</w:t>
            </w:r>
          </w:p>
          <w:p>
            <w:pPr>
              <w:spacing w:line="360" w:lineRule="auto"/>
              <w:ind w:left="210" w:leftChars="100" w:firstLine="210" w:firstLineChars="100"/>
              <w:rPr>
                <w:rFonts w:ascii="宋体" w:hAnsi="宋体" w:cs="宋体"/>
                <w:szCs w:val="21"/>
              </w:rPr>
            </w:pPr>
            <w:r>
              <w:rPr>
                <w:rFonts w:hint="eastAsia" w:ascii="宋体" w:hAnsi="宋体" w:cs="宋体"/>
                <w:szCs w:val="21"/>
              </w:rPr>
              <w:t>环境管理方案，查管理方案表，共2项： 1、办公用硒鼓、墨盒等固废；办公废弃物等分类收集保管，交由相应部门处置；</w:t>
            </w:r>
          </w:p>
          <w:p>
            <w:pPr>
              <w:spacing w:line="360" w:lineRule="auto"/>
              <w:ind w:firstLine="420" w:firstLineChars="200"/>
              <w:rPr>
                <w:szCs w:val="21"/>
              </w:rPr>
            </w:pPr>
            <w:r>
              <w:rPr>
                <w:rFonts w:hint="eastAsia" w:ascii="宋体" w:hAnsi="宋体" w:cs="宋体"/>
                <w:szCs w:val="21"/>
              </w:rPr>
              <w:t>2、杜绝火灾发生，制定了管理方案:</w:t>
            </w:r>
            <w:r>
              <w:rPr>
                <w:rFonts w:hint="eastAsia"/>
              </w:rPr>
              <w:t xml:space="preserve"> </w:t>
            </w:r>
            <w:r>
              <w:rPr>
                <w:rFonts w:hint="eastAsia" w:ascii="宋体" w:hAnsi="宋体" w:cs="宋体"/>
                <w:szCs w:val="21"/>
              </w:rPr>
              <w:t>制定3项管理方案：.制定相应的管理制度并严格执行，配备必要的防火设施（包括灭火器</w:t>
            </w:r>
            <w:r>
              <w:rPr>
                <w:rFonts w:ascii="宋体" w:hAnsi="宋体" w:cs="宋体"/>
                <w:szCs w:val="21"/>
              </w:rPr>
              <w:t>a</w:t>
            </w:r>
            <w:r>
              <w:rPr>
                <w:rFonts w:hint="eastAsia" w:ascii="宋体" w:hAnsi="宋体" w:cs="宋体"/>
                <w:szCs w:val="21"/>
              </w:rPr>
              <w:t>、消防栓等）</w:t>
            </w:r>
            <w:r>
              <w:rPr>
                <w:rFonts w:hint="eastAsia"/>
                <w:szCs w:val="21"/>
              </w:rPr>
              <w:t>并保证其完好</w:t>
            </w:r>
          </w:p>
          <w:p>
            <w:pPr>
              <w:spacing w:line="360" w:lineRule="auto"/>
              <w:ind w:firstLine="420" w:firstLineChars="200"/>
              <w:rPr>
                <w:szCs w:val="21"/>
              </w:rPr>
            </w:pPr>
            <w:r>
              <w:rPr>
                <w:rFonts w:hint="eastAsia"/>
                <w:szCs w:val="21"/>
              </w:rPr>
              <w:t>b. 成立应急响应工作小组（见《应急预案》）</w:t>
            </w:r>
          </w:p>
          <w:p>
            <w:pPr>
              <w:spacing w:line="360" w:lineRule="auto"/>
              <w:ind w:firstLine="420" w:firstLineChars="200"/>
              <w:rPr>
                <w:szCs w:val="21"/>
              </w:rPr>
            </w:pPr>
            <w:r>
              <w:rPr>
                <w:rFonts w:hint="eastAsia"/>
                <w:szCs w:val="21"/>
              </w:rPr>
              <w:t>c. 淘汰过期、报废设备,对灭火器更新；每年进行一次消防演习。执行部门：各部门，检查人：</w:t>
            </w:r>
            <w:r>
              <w:rPr>
                <w:rFonts w:hint="eastAsia" w:ascii="楷体" w:hAnsi="楷体" w:eastAsia="楷体"/>
                <w:color w:val="000000"/>
                <w:sz w:val="24"/>
              </w:rPr>
              <w:t>许静</w:t>
            </w:r>
            <w:r>
              <w:rPr>
                <w:rFonts w:hint="eastAsia"/>
                <w:sz w:val="24"/>
                <w:szCs w:val="22"/>
              </w:rPr>
              <w:t xml:space="preserve"> </w:t>
            </w:r>
            <w:r>
              <w:rPr>
                <w:rFonts w:hint="eastAsia"/>
                <w:szCs w:val="21"/>
              </w:rPr>
              <w:t>，资金投入800元，责任人：陈谦，执行日期：</w:t>
            </w:r>
            <w:r>
              <w:rPr>
                <w:rFonts w:hint="eastAsia"/>
                <w:szCs w:val="21"/>
                <w:lang w:val="en-US" w:eastAsia="zh-CN"/>
              </w:rPr>
              <w:t>长期</w:t>
            </w:r>
          </w:p>
          <w:p>
            <w:pPr>
              <w:spacing w:line="360" w:lineRule="auto"/>
              <w:ind w:firstLine="420" w:firstLineChars="200"/>
              <w:rPr>
                <w:rFonts w:asciiTheme="minorEastAsia" w:hAnsiTheme="minorEastAsia" w:eastAsiaTheme="minorEastAsia" w:cstheme="minorEastAsia"/>
              </w:rPr>
            </w:pPr>
            <w:r>
              <w:rPr>
                <w:rFonts w:hint="eastAsia"/>
                <w:szCs w:val="21"/>
              </w:rPr>
              <w:t>制定的指标和管理方案基本可行。</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956" w:type="dxa"/>
          </w:tcPr>
          <w:p>
            <w:pPr>
              <w:spacing w:line="360" w:lineRule="auto"/>
              <w:rPr>
                <w:rFonts w:ascii="宋体" w:hAnsi="宋体" w:cs="宋体"/>
                <w:szCs w:val="21"/>
              </w:rPr>
            </w:pPr>
            <w:r>
              <w:rPr>
                <w:rFonts w:hint="eastAsia" w:ascii="宋体" w:hAnsi="宋体" w:cs="宋体"/>
                <w:szCs w:val="21"/>
              </w:rPr>
              <w:t>应对风险和机遇的措施</w:t>
            </w:r>
          </w:p>
          <w:p>
            <w:pPr>
              <w:spacing w:line="360" w:lineRule="auto"/>
            </w:pPr>
          </w:p>
        </w:tc>
        <w:tc>
          <w:tcPr>
            <w:tcW w:w="1164" w:type="dxa"/>
          </w:tcPr>
          <w:p>
            <w:pPr>
              <w:spacing w:line="360" w:lineRule="auto"/>
              <w:rPr>
                <w:rFonts w:ascii="宋体"/>
                <w:szCs w:val="21"/>
              </w:rPr>
            </w:pPr>
            <w:r>
              <w:rPr>
                <w:rFonts w:ascii="宋体" w:cs="宋体"/>
                <w:szCs w:val="21"/>
              </w:rPr>
              <w:t>E6.1.1</w:t>
            </w:r>
          </w:p>
          <w:p>
            <w:pPr>
              <w:spacing w:line="360" w:lineRule="auto"/>
              <w:rPr>
                <w:rFonts w:ascii="宋体" w:hAnsi="宋体" w:cs="宋体"/>
                <w:szCs w:val="21"/>
              </w:rPr>
            </w:pPr>
          </w:p>
          <w:p>
            <w:pPr>
              <w:spacing w:line="360" w:lineRule="auto"/>
            </w:pPr>
          </w:p>
        </w:tc>
        <w:tc>
          <w:tcPr>
            <w:tcW w:w="10809" w:type="dxa"/>
            <w:vAlign w:val="center"/>
          </w:tcPr>
          <w:p>
            <w:pPr>
              <w:spacing w:line="360" w:lineRule="auto"/>
              <w:ind w:firstLine="420" w:firstLineChars="200"/>
            </w:pPr>
            <w:r>
              <w:rPr>
                <w:rFonts w:hint="eastAsia" w:asciiTheme="minorEastAsia" w:hAnsiTheme="minorEastAsia" w:eastAsiaTheme="minorEastAsia" w:cstheme="minorEastAsia"/>
                <w:szCs w:val="21"/>
              </w:rPr>
              <w:t>制定了《风险和机遇控制程序》，提供“风险与机遇评价与应对策划表”，</w:t>
            </w:r>
          </w:p>
          <w:p>
            <w:pPr>
              <w:spacing w:line="360" w:lineRule="auto"/>
              <w:ind w:firstLine="420" w:firstLineChars="200"/>
            </w:pPr>
            <w:r>
              <w:rPr>
                <w:rFonts w:hint="eastAsia"/>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360" w:lineRule="auto"/>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360" w:lineRule="auto"/>
              <w:ind w:firstLine="420" w:firstLineChars="200"/>
            </w:pPr>
            <w:r>
              <w:rPr>
                <w:rFonts w:hint="eastAsia"/>
              </w:rPr>
              <w:t>3.在策划管理体系时考虑了风险和机遇以及相应的应对措施，制定了《风险和机遇应对措施》，明确风险和机遇事件的识别方法/途径、风险和机遇事件的评估方式、制定主要风险和机遇事件的应对措施的要求、评价这些措施有效性的方法。</w:t>
            </w:r>
          </w:p>
          <w:p>
            <w:pPr>
              <w:pStyle w:val="11"/>
              <w:spacing w:line="360" w:lineRule="auto"/>
              <w:rPr>
                <w:rFonts w:ascii="宋体" w:hAnsi="宋体"/>
                <w:szCs w:val="21"/>
              </w:rPr>
            </w:pPr>
            <w:r>
              <w:rPr>
                <w:rFonts w:hint="eastAsia" w:ascii="宋体" w:hAnsi="宋体"/>
                <w:szCs w:val="21"/>
              </w:rPr>
              <w:t>外部环境：</w:t>
            </w:r>
          </w:p>
          <w:p>
            <w:pPr>
              <w:pStyle w:val="11"/>
              <w:spacing w:line="360" w:lineRule="auto"/>
              <w:rPr>
                <w:rFonts w:ascii="宋体" w:hAnsi="宋体"/>
                <w:szCs w:val="21"/>
              </w:rPr>
            </w:pPr>
            <w:r>
              <w:rPr>
                <w:rFonts w:hint="eastAsia" w:ascii="宋体" w:hAnsi="宋体"/>
                <w:szCs w:val="21"/>
              </w:rPr>
              <w:t>风险和机遇    应对措施</w:t>
            </w:r>
          </w:p>
          <w:p>
            <w:pPr>
              <w:pStyle w:val="11"/>
              <w:spacing w:line="360" w:lineRule="auto"/>
              <w:rPr>
                <w:rFonts w:ascii="宋体" w:hAnsi="宋体"/>
                <w:szCs w:val="21"/>
              </w:rPr>
            </w:pPr>
            <w:r>
              <w:rPr>
                <w:rFonts w:hint="eastAsia" w:ascii="宋体" w:hAnsi="宋体"/>
                <w:szCs w:val="21"/>
              </w:rPr>
              <w:t xml:space="preserve"> 法律法规     产品符合性要求的提升；竞争对手存在同样的困难</w:t>
            </w:r>
          </w:p>
          <w:p>
            <w:pPr>
              <w:pStyle w:val="11"/>
              <w:spacing w:line="360" w:lineRule="auto"/>
              <w:rPr>
                <w:rFonts w:ascii="宋体" w:hAnsi="宋体"/>
                <w:szCs w:val="21"/>
              </w:rPr>
            </w:pPr>
            <w:r>
              <w:rPr>
                <w:rFonts w:hint="eastAsia" w:ascii="宋体" w:hAnsi="宋体"/>
                <w:szCs w:val="21"/>
              </w:rPr>
              <w:t>市场竞争情况  市场竞争加剧带来的成本压力会引发风险；竞争会促进公司管理的提升</w:t>
            </w:r>
          </w:p>
          <w:p>
            <w:pPr>
              <w:pStyle w:val="11"/>
              <w:spacing w:line="360" w:lineRule="auto"/>
              <w:rPr>
                <w:rFonts w:ascii="宋体" w:hAnsi="宋体"/>
                <w:szCs w:val="21"/>
              </w:rPr>
            </w:pPr>
            <w:r>
              <w:rPr>
                <w:rFonts w:hint="eastAsia" w:ascii="宋体" w:hAnsi="宋体"/>
                <w:szCs w:val="21"/>
              </w:rPr>
              <w:t>市场形势</w:t>
            </w:r>
            <w:r>
              <w:rPr>
                <w:rFonts w:hint="eastAsia" w:ascii="宋体" w:hAnsi="宋体"/>
                <w:szCs w:val="21"/>
              </w:rPr>
              <w:tab/>
            </w:r>
            <w:r>
              <w:rPr>
                <w:rFonts w:hint="eastAsia" w:ascii="宋体" w:hAnsi="宋体"/>
                <w:szCs w:val="21"/>
              </w:rPr>
              <w:t xml:space="preserve">  市场波动引发质量保证的困难；市场形势良好会带来稳定的品控环境</w:t>
            </w:r>
          </w:p>
          <w:p>
            <w:pPr>
              <w:pStyle w:val="11"/>
              <w:spacing w:line="360" w:lineRule="auto"/>
              <w:rPr>
                <w:rFonts w:ascii="宋体" w:hAnsi="宋体"/>
                <w:szCs w:val="21"/>
              </w:rPr>
            </w:pPr>
            <w:r>
              <w:rPr>
                <w:rFonts w:hint="eastAsia" w:ascii="宋体" w:hAnsi="宋体"/>
                <w:szCs w:val="21"/>
              </w:rPr>
              <w:t>市场容量</w:t>
            </w:r>
            <w:r>
              <w:rPr>
                <w:rFonts w:hint="eastAsia" w:ascii="宋体" w:hAnsi="宋体"/>
                <w:szCs w:val="21"/>
              </w:rPr>
              <w:tab/>
            </w:r>
            <w:r>
              <w:rPr>
                <w:rFonts w:hint="eastAsia" w:ascii="宋体" w:hAnsi="宋体"/>
                <w:szCs w:val="21"/>
              </w:rPr>
              <w:t xml:space="preserve">  对市场容量的调查所采用的方法不合适，没有准确的弄清市场对象对产品和服务的用量，使得产品和服务的产量大于实际需求，而增加公司的投资风险。</w:t>
            </w:r>
          </w:p>
          <w:p>
            <w:pPr>
              <w:pStyle w:val="11"/>
              <w:spacing w:line="360" w:lineRule="auto"/>
              <w:rPr>
                <w:rFonts w:ascii="宋体" w:hAnsi="宋体"/>
                <w:szCs w:val="21"/>
              </w:rPr>
            </w:pPr>
            <w:r>
              <w:rPr>
                <w:rFonts w:hint="eastAsia" w:ascii="宋体" w:hAnsi="宋体"/>
                <w:szCs w:val="21"/>
              </w:rPr>
              <w:t>经济形势</w:t>
            </w:r>
            <w:r>
              <w:rPr>
                <w:rFonts w:hint="eastAsia" w:ascii="宋体" w:hAnsi="宋体"/>
                <w:szCs w:val="21"/>
              </w:rPr>
              <w:tab/>
            </w:r>
            <w:r>
              <w:rPr>
                <w:rFonts w:hint="eastAsia" w:ascii="宋体" w:hAnsi="宋体"/>
                <w:szCs w:val="21"/>
              </w:rPr>
              <w:t>国内经济形势下滑</w:t>
            </w:r>
          </w:p>
          <w:p>
            <w:pPr>
              <w:pStyle w:val="11"/>
              <w:spacing w:line="360" w:lineRule="auto"/>
              <w:rPr>
                <w:rFonts w:ascii="宋体" w:hAnsi="宋体"/>
                <w:szCs w:val="21"/>
              </w:rPr>
            </w:pPr>
            <w:r>
              <w:rPr>
                <w:rFonts w:hint="eastAsia" w:ascii="宋体" w:hAnsi="宋体"/>
                <w:szCs w:val="21"/>
              </w:rPr>
              <w:t>社会责任</w:t>
            </w:r>
            <w:r>
              <w:rPr>
                <w:rFonts w:hint="eastAsia" w:ascii="宋体" w:hAnsi="宋体"/>
                <w:szCs w:val="21"/>
              </w:rPr>
              <w:tab/>
            </w:r>
            <w:r>
              <w:rPr>
                <w:rFonts w:hint="eastAsia" w:ascii="宋体" w:hAnsi="宋体"/>
                <w:szCs w:val="21"/>
              </w:rPr>
              <w:t>公众对社会责任期望的提升会促进质量管理的提升</w:t>
            </w:r>
          </w:p>
          <w:p>
            <w:pPr>
              <w:pStyle w:val="11"/>
              <w:spacing w:line="360" w:lineRule="auto"/>
              <w:rPr>
                <w:rFonts w:ascii="宋体" w:hAnsi="宋体"/>
                <w:szCs w:val="21"/>
              </w:rPr>
            </w:pPr>
            <w:r>
              <w:rPr>
                <w:rFonts w:hint="eastAsia" w:ascii="宋体" w:hAnsi="宋体"/>
                <w:szCs w:val="21"/>
              </w:rPr>
              <w:t>产业发展</w:t>
            </w:r>
            <w:r>
              <w:rPr>
                <w:rFonts w:hint="eastAsia" w:ascii="宋体" w:hAnsi="宋体"/>
                <w:szCs w:val="21"/>
              </w:rPr>
              <w:tab/>
            </w:r>
            <w:r>
              <w:rPr>
                <w:rFonts w:hint="eastAsia" w:ascii="宋体" w:hAnsi="宋体"/>
                <w:szCs w:val="21"/>
              </w:rPr>
              <w:t>客户需求及新技术发展变化带来的产品需求的变化；产业发展会带动供应链和技术的发展，有更好的经营环境</w:t>
            </w:r>
          </w:p>
          <w:p>
            <w:pPr>
              <w:pStyle w:val="11"/>
              <w:spacing w:line="360" w:lineRule="auto"/>
              <w:rPr>
                <w:rFonts w:ascii="宋体" w:hAnsi="宋体"/>
                <w:szCs w:val="21"/>
              </w:rPr>
            </w:pPr>
            <w:r>
              <w:rPr>
                <w:rFonts w:hint="eastAsia" w:ascii="宋体" w:hAnsi="宋体"/>
                <w:szCs w:val="21"/>
              </w:rPr>
              <w:t>内部环境:</w:t>
            </w:r>
          </w:p>
          <w:p>
            <w:pPr>
              <w:pStyle w:val="11"/>
              <w:spacing w:line="360" w:lineRule="auto"/>
              <w:rPr>
                <w:rFonts w:ascii="宋体" w:hAnsi="宋体"/>
                <w:szCs w:val="21"/>
              </w:rPr>
            </w:pPr>
            <w:r>
              <w:rPr>
                <w:rFonts w:hint="eastAsia" w:ascii="宋体" w:hAnsi="宋体"/>
                <w:szCs w:val="21"/>
              </w:rPr>
              <w:t>风险和机遇                                应对措施</w:t>
            </w:r>
          </w:p>
          <w:p>
            <w:pPr>
              <w:pStyle w:val="11"/>
              <w:spacing w:line="360" w:lineRule="auto"/>
              <w:rPr>
                <w:rFonts w:ascii="宋体" w:hAnsi="宋体"/>
                <w:szCs w:val="21"/>
              </w:rPr>
            </w:pPr>
            <w:r>
              <w:rPr>
                <w:rFonts w:hint="eastAsia" w:ascii="宋体" w:hAnsi="宋体"/>
                <w:szCs w:val="21"/>
              </w:rPr>
              <w:t>良好的公司文化为体系的建设提供基础</w:t>
            </w:r>
            <w:r>
              <w:rPr>
                <w:rFonts w:hint="eastAsia" w:ascii="宋体" w:hAnsi="宋体"/>
                <w:szCs w:val="21"/>
              </w:rPr>
              <w:tab/>
            </w:r>
            <w:r>
              <w:rPr>
                <w:rFonts w:hint="eastAsia" w:ascii="宋体" w:hAnsi="宋体"/>
                <w:szCs w:val="21"/>
              </w:rPr>
              <w:t xml:space="preserve">       创造良好的企业工作范围</w:t>
            </w:r>
          </w:p>
          <w:p>
            <w:pPr>
              <w:pStyle w:val="11"/>
              <w:spacing w:line="360" w:lineRule="auto"/>
              <w:rPr>
                <w:rFonts w:ascii="宋体" w:hAnsi="宋体"/>
                <w:szCs w:val="21"/>
              </w:rPr>
            </w:pPr>
            <w:r>
              <w:rPr>
                <w:rFonts w:hint="eastAsia" w:ascii="宋体" w:hAnsi="宋体"/>
                <w:szCs w:val="21"/>
              </w:rPr>
              <w:t>绩效压力所引发的成本压力会带来风险         努力提高客户满意度，节能减排</w:t>
            </w:r>
          </w:p>
          <w:p>
            <w:pPr>
              <w:pStyle w:val="11"/>
              <w:spacing w:line="360" w:lineRule="auto"/>
              <w:rPr>
                <w:rFonts w:ascii="宋体" w:hAnsi="宋体"/>
                <w:szCs w:val="21"/>
              </w:rPr>
            </w:pPr>
            <w:r>
              <w:rPr>
                <w:rFonts w:hint="eastAsia" w:ascii="宋体" w:hAnsi="宋体"/>
                <w:szCs w:val="21"/>
              </w:rPr>
              <w:t>各岗位主要人员的离职等风险。    管理部组织培训，通过自学/外培等方式进一步提高管理团队经验.</w:t>
            </w:r>
          </w:p>
          <w:p>
            <w:pPr>
              <w:pStyle w:val="11"/>
              <w:spacing w:line="360" w:lineRule="auto"/>
              <w:rPr>
                <w:rFonts w:ascii="宋体" w:hAnsi="宋体"/>
                <w:szCs w:val="21"/>
              </w:rPr>
            </w:pPr>
            <w:r>
              <w:rPr>
                <w:rFonts w:hint="eastAsia" w:ascii="宋体" w:hAnsi="宋体"/>
                <w:szCs w:val="21"/>
              </w:rPr>
              <w:t xml:space="preserve">多层次的构架，带来沟通与决策上的复杂性   </w:t>
            </w:r>
            <w:r>
              <w:rPr>
                <w:rFonts w:hint="eastAsia" w:ascii="宋体" w:hAnsi="宋体"/>
                <w:szCs w:val="21"/>
              </w:rPr>
              <w:tab/>
            </w:r>
            <w:r>
              <w:rPr>
                <w:rFonts w:hint="eastAsia" w:ascii="宋体" w:hAnsi="宋体"/>
                <w:szCs w:val="21"/>
              </w:rPr>
              <w:t>管理层建立简单、直观和有效的组织架构。</w:t>
            </w:r>
          </w:p>
          <w:p>
            <w:pPr>
              <w:pStyle w:val="11"/>
              <w:spacing w:line="360" w:lineRule="auto"/>
              <w:rPr>
                <w:rFonts w:ascii="宋体" w:hAnsi="宋体"/>
                <w:szCs w:val="21"/>
              </w:rPr>
            </w:pPr>
            <w:r>
              <w:rPr>
                <w:rFonts w:hint="eastAsia" w:ascii="宋体" w:hAnsi="宋体"/>
                <w:szCs w:val="21"/>
              </w:rPr>
              <w:t>融资/筹资过程中的风险,资金回收过程中的风险。</w:t>
            </w:r>
            <w:r>
              <w:rPr>
                <w:rFonts w:hint="eastAsia" w:ascii="宋体" w:hAnsi="宋体"/>
                <w:szCs w:val="21"/>
              </w:rPr>
              <w:tab/>
            </w:r>
            <w:r>
              <w:rPr>
                <w:rFonts w:hint="eastAsia" w:ascii="宋体" w:hAnsi="宋体"/>
                <w:szCs w:val="21"/>
              </w:rPr>
              <w:t>合理投资，根据组织的实力进行融资,销售人员及时跟顾客沟通，争取应收账款及时到账。</w:t>
            </w:r>
          </w:p>
          <w:p>
            <w:pPr>
              <w:pStyle w:val="11"/>
              <w:spacing w:line="360" w:lineRule="auto"/>
              <w:rPr>
                <w:rFonts w:ascii="宋体" w:hAnsi="宋体"/>
                <w:szCs w:val="21"/>
              </w:rPr>
            </w:pPr>
            <w:r>
              <w:rPr>
                <w:rFonts w:hint="eastAsia" w:ascii="宋体" w:hAnsi="宋体"/>
                <w:szCs w:val="21"/>
              </w:rPr>
              <w:t>另外分析了</w:t>
            </w:r>
            <w:r>
              <w:rPr>
                <w:rFonts w:hint="eastAsia"/>
                <w:szCs w:val="21"/>
              </w:rPr>
              <w:t xml:space="preserve">利益相关方的风险等。评审人许静 ，批准：杜汉清    </w:t>
            </w:r>
            <w:r>
              <w:rPr>
                <w:rFonts w:hint="eastAsia"/>
                <w:szCs w:val="21"/>
                <w:lang w:eastAsia="zh-CN"/>
              </w:rPr>
              <w:t>202</w:t>
            </w:r>
            <w:r>
              <w:rPr>
                <w:rFonts w:hint="eastAsia"/>
                <w:szCs w:val="21"/>
                <w:lang w:val="en-US" w:eastAsia="zh-CN"/>
              </w:rPr>
              <w:t>1</w:t>
            </w:r>
            <w:r>
              <w:rPr>
                <w:rFonts w:hint="eastAsia"/>
                <w:szCs w:val="21"/>
              </w:rPr>
              <w:t>.6.18</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56" w:type="dxa"/>
          </w:tcPr>
          <w:p>
            <w:pPr>
              <w:spacing w:line="360" w:lineRule="auto"/>
              <w:rPr>
                <w:rFonts w:hint="eastAsia"/>
                <w:szCs w:val="21"/>
              </w:rPr>
            </w:pPr>
            <w:r>
              <w:rPr>
                <w:rFonts w:hint="eastAsia"/>
                <w:szCs w:val="21"/>
              </w:rPr>
              <w:t>环境因素识别、危险源辨识及控制</w:t>
            </w:r>
          </w:p>
        </w:tc>
        <w:tc>
          <w:tcPr>
            <w:tcW w:w="1164" w:type="dxa"/>
          </w:tcPr>
          <w:p>
            <w:pPr>
              <w:spacing w:line="360" w:lineRule="auto"/>
              <w:rPr>
                <w:szCs w:val="21"/>
              </w:rPr>
            </w:pPr>
            <w:r>
              <w:rPr>
                <w:rFonts w:hint="eastAsia"/>
                <w:szCs w:val="21"/>
              </w:rPr>
              <w:t>E6.1.2</w:t>
            </w:r>
          </w:p>
          <w:p>
            <w:pPr>
              <w:spacing w:line="360" w:lineRule="auto"/>
              <w:rPr>
                <w:rFonts w:hint="eastAsia"/>
                <w:szCs w:val="21"/>
              </w:rPr>
            </w:pPr>
          </w:p>
        </w:tc>
        <w:tc>
          <w:tcPr>
            <w:tcW w:w="10809" w:type="dxa"/>
            <w:vAlign w:val="center"/>
          </w:tcPr>
          <w:p>
            <w:pPr>
              <w:numPr>
                <w:ilvl w:val="0"/>
                <w:numId w:val="1"/>
              </w:numPr>
              <w:spacing w:line="360" w:lineRule="auto"/>
              <w:ind w:firstLine="420" w:firstLineChars="200"/>
              <w:jc w:val="left"/>
              <w:rPr>
                <w:szCs w:val="21"/>
              </w:rPr>
            </w:pPr>
            <w:r>
              <w:rPr>
                <w:rFonts w:hint="eastAsia"/>
                <w:szCs w:val="21"/>
              </w:rPr>
              <w:t>提供 《环境因素识别与评价程序》，用以指导进行环境因素的识别、登记评价，以确定重要环境因素以及对环境因素的定期更新，环境因素的识别和确定考虑生命周期观点。</w:t>
            </w:r>
          </w:p>
          <w:p>
            <w:pPr>
              <w:spacing w:line="360" w:lineRule="auto"/>
              <w:rPr>
                <w:szCs w:val="21"/>
              </w:rPr>
            </w:pPr>
            <w:r>
              <w:rPr>
                <w:rFonts w:hint="eastAsia"/>
                <w:szCs w:val="21"/>
              </w:rPr>
              <w:t>提供了《环境因素识别与评价表》，识别的环境因素标明时态、状态和对环境的影响；经查阅识别出对在办公活动中产生的纸张等消耗、固废排放、生活废水排放等环境因素及考虑到环境管理体系发生变更时可能产生的环境因素。</w:t>
            </w:r>
            <w:r>
              <w:rPr>
                <w:rFonts w:hint="eastAsia" w:ascii="宋体" w:hAnsi="宋体"/>
                <w:kern w:val="0"/>
                <w:szCs w:val="21"/>
              </w:rPr>
              <w:t>编制人：管理部</w:t>
            </w:r>
            <w:r>
              <w:rPr>
                <w:kern w:val="0"/>
                <w:szCs w:val="21"/>
              </w:rPr>
              <w:t xml:space="preserve">       </w:t>
            </w:r>
            <w:r>
              <w:rPr>
                <w:rFonts w:hint="eastAsia" w:ascii="宋体" w:hAnsi="宋体"/>
                <w:kern w:val="0"/>
                <w:szCs w:val="21"/>
              </w:rPr>
              <w:t>审核人：许静</w:t>
            </w:r>
            <w:r>
              <w:rPr>
                <w:kern w:val="0"/>
                <w:szCs w:val="21"/>
              </w:rPr>
              <w:t xml:space="preserve">           </w:t>
            </w:r>
            <w:r>
              <w:rPr>
                <w:rFonts w:hint="eastAsia" w:ascii="宋体" w:hAnsi="宋体"/>
                <w:kern w:val="0"/>
                <w:szCs w:val="21"/>
              </w:rPr>
              <w:t>批准人：杜汉清</w:t>
            </w:r>
            <w:r>
              <w:rPr>
                <w:kern w:val="0"/>
                <w:szCs w:val="21"/>
              </w:rPr>
              <w:t xml:space="preserve">     </w:t>
            </w:r>
            <w:r>
              <w:rPr>
                <w:rFonts w:hint="eastAsia" w:ascii="宋体" w:hAnsi="宋体"/>
                <w:kern w:val="0"/>
                <w:szCs w:val="21"/>
              </w:rPr>
              <w:t>日期：</w:t>
            </w:r>
            <w:r>
              <w:rPr>
                <w:kern w:val="0"/>
                <w:szCs w:val="21"/>
              </w:rPr>
              <w:t xml:space="preserve"> </w:t>
            </w:r>
            <w:r>
              <w:rPr>
                <w:rFonts w:hint="eastAsia"/>
                <w:kern w:val="0"/>
                <w:szCs w:val="21"/>
                <w:lang w:eastAsia="zh-CN"/>
              </w:rPr>
              <w:t>202</w:t>
            </w:r>
            <w:r>
              <w:rPr>
                <w:rFonts w:hint="eastAsia"/>
                <w:kern w:val="0"/>
                <w:szCs w:val="21"/>
                <w:lang w:val="en-US" w:eastAsia="zh-CN"/>
              </w:rPr>
              <w:t>1</w:t>
            </w:r>
            <w:r>
              <w:rPr>
                <w:kern w:val="0"/>
                <w:szCs w:val="21"/>
              </w:rPr>
              <w:t>年</w:t>
            </w:r>
            <w:r>
              <w:rPr>
                <w:rFonts w:hint="eastAsia"/>
                <w:kern w:val="0"/>
                <w:szCs w:val="21"/>
                <w:lang w:val="en-US" w:eastAsia="zh-CN"/>
              </w:rPr>
              <w:t>1</w:t>
            </w:r>
            <w:r>
              <w:rPr>
                <w:kern w:val="0"/>
                <w:szCs w:val="21"/>
              </w:rPr>
              <w:t>月</w:t>
            </w:r>
            <w:r>
              <w:rPr>
                <w:rFonts w:hint="eastAsia"/>
                <w:kern w:val="0"/>
                <w:szCs w:val="21"/>
                <w:lang w:val="en-US" w:eastAsia="zh-CN"/>
              </w:rPr>
              <w:t>25</w:t>
            </w:r>
            <w:r>
              <w:rPr>
                <w:kern w:val="0"/>
                <w:szCs w:val="21"/>
              </w:rPr>
              <w:t>日</w:t>
            </w:r>
          </w:p>
          <w:p>
            <w:pPr>
              <w:spacing w:line="360" w:lineRule="auto"/>
              <w:rPr>
                <w:szCs w:val="21"/>
              </w:rPr>
            </w:pPr>
            <w:r>
              <w:rPr>
                <w:rFonts w:hint="eastAsia"/>
                <w:szCs w:val="21"/>
              </w:rPr>
              <w:t xml:space="preserve">重要环境因素采用经验/直接判断法，由各部门有管理经验的人员共同讨论、采用直接判断的方法确定重要环境因素，提供了“重要环境因素清单”：本部门的重要环境因素：火灾，办公废弃物；提供了针对重要环境因素，编的环境目标、指标及管理方案，内容包括：目标、指标、管理措施、完成时间、资金投入等。   </w:t>
            </w:r>
          </w:p>
          <w:p>
            <w:pPr>
              <w:spacing w:line="360" w:lineRule="auto"/>
              <w:rPr>
                <w:szCs w:val="21"/>
              </w:rPr>
            </w:pPr>
            <w:r>
              <w:rPr>
                <w:rFonts w:hint="eastAsia" w:ascii="宋体" w:hAnsi="宋体"/>
                <w:kern w:val="0"/>
                <w:szCs w:val="21"/>
              </w:rPr>
              <w:t>编制人：管理部</w:t>
            </w:r>
            <w:r>
              <w:rPr>
                <w:kern w:val="0"/>
                <w:szCs w:val="21"/>
              </w:rPr>
              <w:t xml:space="preserve">      </w:t>
            </w:r>
            <w:r>
              <w:rPr>
                <w:rFonts w:hint="eastAsia" w:ascii="宋体" w:hAnsi="宋体"/>
                <w:kern w:val="0"/>
                <w:szCs w:val="21"/>
              </w:rPr>
              <w:t>审核人：许静</w:t>
            </w:r>
            <w:r>
              <w:rPr>
                <w:kern w:val="0"/>
                <w:szCs w:val="21"/>
              </w:rPr>
              <w:t xml:space="preserve">           </w:t>
            </w:r>
            <w:r>
              <w:rPr>
                <w:rFonts w:hint="eastAsia" w:ascii="宋体" w:hAnsi="宋体"/>
                <w:kern w:val="0"/>
                <w:szCs w:val="21"/>
              </w:rPr>
              <w:t>批准人：杜汉清</w:t>
            </w:r>
            <w:r>
              <w:rPr>
                <w:kern w:val="0"/>
                <w:szCs w:val="21"/>
              </w:rPr>
              <w:t xml:space="preserve">     </w:t>
            </w:r>
            <w:r>
              <w:rPr>
                <w:rFonts w:hint="eastAsia" w:ascii="宋体" w:hAnsi="宋体"/>
                <w:kern w:val="0"/>
                <w:szCs w:val="21"/>
              </w:rPr>
              <w:t>日期：</w:t>
            </w:r>
            <w:r>
              <w:rPr>
                <w:kern w:val="0"/>
                <w:szCs w:val="21"/>
              </w:rPr>
              <w:t xml:space="preserve"> </w:t>
            </w:r>
            <w:r>
              <w:rPr>
                <w:rFonts w:hint="eastAsia"/>
                <w:kern w:val="0"/>
                <w:szCs w:val="21"/>
                <w:lang w:eastAsia="zh-CN"/>
              </w:rPr>
              <w:t>202</w:t>
            </w:r>
            <w:r>
              <w:rPr>
                <w:rFonts w:hint="eastAsia"/>
                <w:kern w:val="0"/>
                <w:szCs w:val="21"/>
                <w:lang w:val="en-US" w:eastAsia="zh-CN"/>
              </w:rPr>
              <w:t>1</w:t>
            </w:r>
            <w:r>
              <w:rPr>
                <w:kern w:val="0"/>
                <w:szCs w:val="21"/>
              </w:rPr>
              <w:t>年</w:t>
            </w:r>
            <w:r>
              <w:rPr>
                <w:rFonts w:hint="eastAsia"/>
                <w:kern w:val="0"/>
                <w:szCs w:val="21"/>
                <w:lang w:val="en-US" w:eastAsia="zh-CN"/>
              </w:rPr>
              <w:t>1</w:t>
            </w:r>
            <w:r>
              <w:rPr>
                <w:kern w:val="0"/>
                <w:szCs w:val="21"/>
              </w:rPr>
              <w:t>月</w:t>
            </w:r>
            <w:r>
              <w:rPr>
                <w:rFonts w:hint="eastAsia"/>
                <w:kern w:val="0"/>
                <w:szCs w:val="21"/>
                <w:lang w:val="en-US" w:eastAsia="zh-CN"/>
              </w:rPr>
              <w:t>25</w:t>
            </w:r>
            <w:r>
              <w:rPr>
                <w:kern w:val="0"/>
                <w:szCs w:val="21"/>
              </w:rPr>
              <w:t>日</w:t>
            </w:r>
          </w:p>
          <w:p>
            <w:pPr>
              <w:spacing w:line="360" w:lineRule="auto"/>
              <w:ind w:firstLine="420" w:firstLineChars="200"/>
              <w:rPr>
                <w:szCs w:val="21"/>
              </w:rPr>
            </w:pPr>
            <w:r>
              <w:rPr>
                <w:rFonts w:hint="eastAsia"/>
                <w:szCs w:val="21"/>
              </w:rPr>
              <w:t xml:space="preserve">  </w:t>
            </w:r>
          </w:p>
          <w:p>
            <w:pPr>
              <w:pStyle w:val="4"/>
              <w:widowControl/>
              <w:spacing w:line="360" w:lineRule="auto"/>
              <w:ind w:firstLine="420" w:firstLineChars="200"/>
              <w:rPr>
                <w:rFonts w:hint="eastAsia" w:ascii="Times New Roman" w:hAnsi="Times New Roman"/>
                <w:szCs w:val="21"/>
              </w:rPr>
            </w:pP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tcPr>
          <w:p>
            <w:pPr>
              <w:spacing w:line="360" w:lineRule="auto"/>
              <w:rPr>
                <w:szCs w:val="21"/>
              </w:rPr>
            </w:pPr>
            <w:r>
              <w:rPr>
                <w:rFonts w:hint="eastAsia"/>
                <w:szCs w:val="21"/>
              </w:rPr>
              <w:t>合规义务、法律法规</w:t>
            </w:r>
          </w:p>
          <w:p>
            <w:pPr>
              <w:spacing w:line="360" w:lineRule="auto"/>
              <w:rPr>
                <w:rFonts w:hint="eastAsia"/>
                <w:szCs w:val="21"/>
              </w:rPr>
            </w:pPr>
          </w:p>
        </w:tc>
        <w:tc>
          <w:tcPr>
            <w:tcW w:w="1164" w:type="dxa"/>
          </w:tcPr>
          <w:p>
            <w:pPr>
              <w:spacing w:line="360" w:lineRule="auto"/>
              <w:rPr>
                <w:szCs w:val="21"/>
              </w:rPr>
            </w:pPr>
            <w:r>
              <w:rPr>
                <w:rFonts w:hint="eastAsia"/>
                <w:szCs w:val="21"/>
              </w:rPr>
              <w:t>E6.1.3</w:t>
            </w:r>
          </w:p>
          <w:p>
            <w:pPr>
              <w:spacing w:line="360" w:lineRule="auto"/>
              <w:rPr>
                <w:rFonts w:hint="eastAsia"/>
                <w:szCs w:val="21"/>
              </w:rPr>
            </w:pPr>
          </w:p>
        </w:tc>
        <w:tc>
          <w:tcPr>
            <w:tcW w:w="10809" w:type="dxa"/>
            <w:vAlign w:val="center"/>
          </w:tcPr>
          <w:p>
            <w:pPr>
              <w:spacing w:line="360" w:lineRule="auto"/>
              <w:ind w:firstLine="420" w:firstLineChars="200"/>
              <w:rPr>
                <w:szCs w:val="21"/>
              </w:rPr>
            </w:pPr>
            <w:r>
              <w:rPr>
                <w:rFonts w:hint="eastAsia"/>
                <w:szCs w:val="21"/>
              </w:rPr>
              <w:t>公司法律法规和其它要求收集渠道有政府环保部门、安监部门、主管部门、国家网站等。法律法规和其它要求通过会议、培训等方式传达到相关方和公众，能够为其获取。</w:t>
            </w:r>
          </w:p>
          <w:p>
            <w:pPr>
              <w:spacing w:line="360" w:lineRule="auto"/>
              <w:ind w:firstLine="420" w:firstLineChars="200"/>
              <w:rPr>
                <w:szCs w:val="21"/>
              </w:rPr>
            </w:pPr>
            <w:r>
              <w:rPr>
                <w:rFonts w:hint="eastAsia"/>
                <w:szCs w:val="21"/>
              </w:rPr>
              <w:t>提供了《法律法规和其他要求控制程序》和《合规性评价控制程序》，</w:t>
            </w:r>
          </w:p>
          <w:p>
            <w:pPr>
              <w:spacing w:line="360" w:lineRule="auto"/>
              <w:rPr>
                <w:rFonts w:hint="eastAsia"/>
              </w:rPr>
            </w:pPr>
            <w:r>
              <w:rPr>
                <w:rFonts w:hint="eastAsia"/>
              </w:rPr>
              <w:t>查合规性评价：20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日进行合规性评价，提供了《</w:t>
            </w:r>
            <w:r>
              <w:rPr>
                <w:rFonts w:hint="eastAsia"/>
                <w:lang w:eastAsia="zh-CN"/>
              </w:rPr>
              <w:t>环境</w:t>
            </w:r>
            <w:r>
              <w:rPr>
                <w:rFonts w:hint="eastAsia"/>
              </w:rPr>
              <w:t>合规性评价表》，内容包括：活动场所/产品/服务、重要环境因素、</w:t>
            </w:r>
            <w:r>
              <w:rPr>
                <w:rFonts w:hint="eastAsia"/>
                <w:lang w:eastAsia="zh-CN"/>
              </w:rPr>
              <w:t>不可接受风险、</w:t>
            </w:r>
            <w:r>
              <w:rPr>
                <w:rFonts w:hint="eastAsia"/>
              </w:rPr>
              <w:t>现有控制措施、适用的法律法规及其对应条款、</w:t>
            </w:r>
            <w:r>
              <w:rPr>
                <w:rFonts w:hint="eastAsia"/>
                <w:lang w:eastAsia="zh-CN"/>
              </w:rPr>
              <w:t>实施日期、实施结果、</w:t>
            </w:r>
            <w:r>
              <w:rPr>
                <w:rFonts w:hint="eastAsia"/>
              </w:rPr>
              <w:t>符合性评价等。</w:t>
            </w:r>
          </w:p>
          <w:p>
            <w:pPr>
              <w:spacing w:line="360" w:lineRule="auto"/>
              <w:rPr>
                <w:rFonts w:hint="eastAsia"/>
              </w:rPr>
            </w:pPr>
            <w:r>
              <w:rPr>
                <w:rFonts w:hint="eastAsia"/>
              </w:rPr>
              <w:t>评价了相关的法律法规，涉及火灾</w:t>
            </w:r>
            <w:r>
              <w:rPr>
                <w:rFonts w:hint="eastAsia"/>
                <w:lang w:val="en-US" w:eastAsia="zh-CN"/>
              </w:rPr>
              <w:t>事故</w:t>
            </w:r>
            <w:r>
              <w:rPr>
                <w:rFonts w:hint="eastAsia"/>
              </w:rPr>
              <w:t>、固废排放、资源消耗等</w:t>
            </w:r>
          </w:p>
          <w:p>
            <w:pPr>
              <w:spacing w:line="360" w:lineRule="auto"/>
              <w:rPr>
                <w:rFonts w:hint="default"/>
                <w:lang w:val="en-US" w:eastAsia="zh-CN"/>
              </w:rPr>
            </w:pPr>
            <w:r>
              <w:rPr>
                <w:rFonts w:hint="eastAsia"/>
              </w:rPr>
              <w:t>评价结果：公司能够按照有关法律法规、公司文件进行控制、检查，能够遵守国家、地方的法律法规，合规性评价符合要求。批准/日期：</w:t>
            </w:r>
            <w:r>
              <w:rPr>
                <w:rFonts w:hint="eastAsia"/>
                <w:lang w:val="en-US" w:eastAsia="zh-CN"/>
              </w:rPr>
              <w:t>许静</w:t>
            </w:r>
            <w:r>
              <w:rPr>
                <w:rFonts w:hint="eastAsia"/>
              </w:rPr>
              <w:t xml:space="preserve">   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pStyle w:val="4"/>
              <w:widowControl/>
              <w:spacing w:line="360" w:lineRule="auto"/>
              <w:ind w:firstLine="422" w:firstLineChars="200"/>
              <w:rPr>
                <w:rFonts w:hint="eastAsia" w:ascii="Times New Roman" w:hAnsi="Times New Roman"/>
                <w:szCs w:val="21"/>
              </w:rPr>
            </w:pPr>
            <w:r>
              <w:rPr>
                <w:rFonts w:hint="eastAsia"/>
                <w:b/>
                <w:bCs w:val="0"/>
                <w:lang w:val="en-US" w:eastAsia="zh-CN"/>
              </w:rPr>
              <w:t>提供的《</w:t>
            </w:r>
            <w:r>
              <w:rPr>
                <w:b/>
                <w:bCs w:val="0"/>
              </w:rPr>
              <w:t>法律法规</w:t>
            </w:r>
            <w:r>
              <w:rPr>
                <w:rFonts w:ascii="Times New Roman" w:hAnsi="Times New Roman" w:eastAsia="宋体" w:cs="Times New Roman"/>
                <w:b/>
                <w:bCs w:val="0"/>
              </w:rPr>
              <w:t>及要求清单</w:t>
            </w:r>
            <w:r>
              <w:rPr>
                <w:rFonts w:hint="eastAsia" w:ascii="Times New Roman" w:hAnsi="Times New Roman" w:eastAsia="宋体" w:cs="Times New Roman"/>
                <w:b/>
                <w:bCs w:val="0"/>
                <w:lang w:val="en-US" w:eastAsia="zh-CN"/>
              </w:rPr>
              <w:t>》中</w:t>
            </w:r>
            <w:r>
              <w:rPr>
                <w:rFonts w:ascii="Times New Roman" w:hAnsi="Times New Roman" w:eastAsia="宋体" w:cs="Times New Roman"/>
                <w:b/>
                <w:bCs w:val="0"/>
              </w:rPr>
              <w:t>中华人民共和国固体废物污染环境防治法</w:t>
            </w:r>
            <w:r>
              <w:rPr>
                <w:rFonts w:hint="eastAsia" w:ascii="Times New Roman" w:hAnsi="Times New Roman" w:eastAsia="宋体" w:cs="Times New Roman"/>
                <w:b/>
                <w:bCs w:val="0"/>
                <w:lang w:eastAsia="zh-CN"/>
              </w:rPr>
              <w:t>、</w:t>
            </w:r>
            <w:r>
              <w:rPr>
                <w:rFonts w:ascii="Times New Roman" w:hAnsi="Times New Roman" w:eastAsia="宋体" w:cs="Times New Roman"/>
                <w:b/>
                <w:bCs w:val="0"/>
              </w:rPr>
              <w:t>中华人民共和国消防法</w:t>
            </w:r>
            <w:r>
              <w:rPr>
                <w:rFonts w:hint="eastAsia" w:ascii="Times New Roman" w:hAnsi="Times New Roman" w:eastAsia="宋体" w:cs="Times New Roman"/>
                <w:b/>
                <w:bCs w:val="0"/>
                <w:lang w:val="en-US" w:eastAsia="zh-CN"/>
              </w:rPr>
              <w:t>为失效版本。</w:t>
            </w:r>
          </w:p>
        </w:tc>
        <w:tc>
          <w:tcPr>
            <w:tcW w:w="780" w:type="dxa"/>
          </w:tcPr>
          <w:p>
            <w:pPr>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spacing w:line="360" w:lineRule="auto"/>
            </w:pPr>
            <w:r>
              <w:rPr>
                <w:rFonts w:hint="eastAsia"/>
                <w:szCs w:val="21"/>
              </w:rPr>
              <w:t>人员、能力、培训</w:t>
            </w:r>
          </w:p>
        </w:tc>
        <w:tc>
          <w:tcPr>
            <w:tcW w:w="1164" w:type="dxa"/>
            <w:vAlign w:val="center"/>
          </w:tcPr>
          <w:p>
            <w:pPr>
              <w:spacing w:line="360" w:lineRule="auto"/>
              <w:rPr>
                <w:szCs w:val="21"/>
              </w:rPr>
            </w:pPr>
            <w:r>
              <w:rPr>
                <w:rFonts w:hint="eastAsia"/>
                <w:szCs w:val="21"/>
              </w:rPr>
              <w:t>E</w:t>
            </w:r>
            <w:r>
              <w:rPr>
                <w:szCs w:val="21"/>
              </w:rPr>
              <w:t>7.1</w:t>
            </w:r>
          </w:p>
          <w:p>
            <w:pPr>
              <w:spacing w:line="360" w:lineRule="auto"/>
              <w:rPr>
                <w:szCs w:val="21"/>
                <w:highlight w:val="red"/>
              </w:rPr>
            </w:pPr>
            <w:r>
              <w:rPr>
                <w:rFonts w:hint="eastAsia"/>
                <w:szCs w:val="21"/>
              </w:rPr>
              <w:t>E7.2</w:t>
            </w:r>
          </w:p>
          <w:p>
            <w:pPr>
              <w:spacing w:line="360" w:lineRule="auto"/>
            </w:pPr>
          </w:p>
        </w:tc>
        <w:tc>
          <w:tcPr>
            <w:tcW w:w="10809" w:type="dxa"/>
            <w:vAlign w:val="center"/>
          </w:tcPr>
          <w:p>
            <w:pPr>
              <w:pStyle w:val="4"/>
              <w:widowControl/>
              <w:spacing w:line="360" w:lineRule="auto"/>
              <w:ind w:firstLine="420" w:firstLineChars="200"/>
              <w:rPr>
                <w:rFonts w:ascii="Times New Roman" w:hAnsi="Times New Roman"/>
                <w:szCs w:val="21"/>
              </w:rPr>
            </w:pPr>
            <w:r>
              <w:rPr>
                <w:rFonts w:hint="eastAsia" w:ascii="Times New Roman" w:hAnsi="Times New Roman"/>
                <w:szCs w:val="21"/>
              </w:rPr>
              <w:t>组织在手册中，对企业在职人员进行了人员能力与意识的要求，编制《能力、意识、培训控制程序》和《岗位描述书》，规定了控制要求。对企业的人力资源的培养和发展等作出规定，专业技术人员、特种作业人员等人力资源作出了规划。部门又根据自己部门的特点提供《绩效考核规定》，对员工的绩效进行考核，并与员工的工资相挂钩，查</w:t>
            </w:r>
            <w:r>
              <w:rPr>
                <w:rFonts w:hint="eastAsia" w:ascii="Times New Roman" w:hAnsi="Times New Roman"/>
                <w:szCs w:val="21"/>
                <w:lang w:eastAsia="zh-CN"/>
              </w:rPr>
              <w:t>202</w:t>
            </w:r>
            <w:r>
              <w:rPr>
                <w:rFonts w:hint="eastAsia" w:ascii="Times New Roman" w:hAnsi="Times New Roman"/>
                <w:szCs w:val="21"/>
                <w:lang w:val="en-US" w:eastAsia="zh-CN"/>
              </w:rPr>
              <w:t>1</w:t>
            </w:r>
            <w:r>
              <w:rPr>
                <w:rFonts w:hint="eastAsia" w:ascii="Times New Roman" w:hAnsi="Times New Roman"/>
                <w:szCs w:val="21"/>
              </w:rPr>
              <w:t>年3月的考核记录，考核结果基本达成设定的目标值，考核基本与办法保持一致。《岗位描述书》对总经理、管代、内审员、销售员等岗位人员的任职要求从能力、意识、学历、经历、技能等方面作出规定。</w:t>
            </w:r>
          </w:p>
          <w:p>
            <w:pPr>
              <w:pStyle w:val="4"/>
              <w:widowControl/>
              <w:spacing w:line="360" w:lineRule="auto"/>
              <w:ind w:firstLine="420" w:firstLineChars="200"/>
              <w:rPr>
                <w:rFonts w:ascii="Times New Roman" w:hAnsi="Times New Roman"/>
                <w:szCs w:val="21"/>
              </w:rPr>
            </w:pPr>
            <w:r>
              <w:rPr>
                <w:rFonts w:hint="eastAsia" w:ascii="Times New Roman" w:hAnsi="Times New Roman"/>
                <w:szCs w:val="21"/>
              </w:rPr>
              <w:t>抽查许静、陈谦、方鹤、张冰冰等均满足任职要求。</w:t>
            </w:r>
          </w:p>
          <w:p>
            <w:pPr>
              <w:pStyle w:val="4"/>
              <w:widowControl/>
              <w:spacing w:line="360" w:lineRule="auto"/>
              <w:ind w:firstLine="420" w:firstLineChars="200"/>
              <w:rPr>
                <w:rFonts w:ascii="Times New Roman" w:hAnsi="Times New Roman"/>
                <w:szCs w:val="21"/>
              </w:rPr>
            </w:pPr>
            <w:r>
              <w:rPr>
                <w:rFonts w:hint="eastAsia" w:ascii="Times New Roman" w:hAnsi="Times New Roman"/>
                <w:szCs w:val="21"/>
              </w:rPr>
              <w:t>根据企业发展规划、现状及各部门意见，人力资源部制定年度培训计划，提供《</w:t>
            </w:r>
            <w:r>
              <w:rPr>
                <w:rFonts w:hint="eastAsia" w:ascii="Times New Roman" w:hAnsi="Times New Roman"/>
                <w:szCs w:val="21"/>
                <w:lang w:eastAsia="zh-CN"/>
              </w:rPr>
              <w:t>202</w:t>
            </w:r>
            <w:r>
              <w:rPr>
                <w:rFonts w:hint="eastAsia" w:ascii="Times New Roman" w:hAnsi="Times New Roman"/>
                <w:szCs w:val="21"/>
                <w:lang w:val="en-US" w:eastAsia="zh-CN"/>
              </w:rPr>
              <w:t>1</w:t>
            </w:r>
            <w:r>
              <w:rPr>
                <w:rFonts w:hint="eastAsia" w:ascii="Times New Roman" w:hAnsi="Times New Roman"/>
                <w:szCs w:val="21"/>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管理部 ，审核许静 ，批准杜汉清 ，日期：</w:t>
            </w:r>
            <w:r>
              <w:rPr>
                <w:rFonts w:hint="eastAsia" w:ascii="Times New Roman" w:hAnsi="Times New Roman"/>
                <w:szCs w:val="21"/>
                <w:lang w:eastAsia="zh-CN"/>
              </w:rPr>
              <w:t>202</w:t>
            </w:r>
            <w:r>
              <w:rPr>
                <w:rFonts w:hint="eastAsia" w:ascii="Times New Roman" w:hAnsi="Times New Roman"/>
                <w:szCs w:val="21"/>
                <w:lang w:val="en-US" w:eastAsia="zh-CN"/>
              </w:rPr>
              <w:t>1</w:t>
            </w:r>
            <w:r>
              <w:rPr>
                <w:rFonts w:hint="eastAsia" w:ascii="Times New Roman" w:hAnsi="Times New Roman"/>
                <w:szCs w:val="21"/>
              </w:rPr>
              <w:t>.7.7。</w:t>
            </w:r>
          </w:p>
          <w:p>
            <w:pPr>
              <w:pStyle w:val="4"/>
              <w:widowControl/>
              <w:spacing w:line="360" w:lineRule="auto"/>
              <w:ind w:firstLine="420" w:firstLineChars="200"/>
              <w:rPr>
                <w:rFonts w:ascii="Times New Roman" w:hAnsi="Times New Roman"/>
                <w:color w:val="0C0C0C"/>
                <w:szCs w:val="21"/>
              </w:rPr>
            </w:pPr>
            <w:r>
              <w:rPr>
                <w:rFonts w:hint="eastAsia" w:ascii="Times New Roman" w:hAnsi="Times New Roman"/>
                <w:color w:val="0C0C0C"/>
                <w:szCs w:val="21"/>
              </w:rPr>
              <w:t>查《培训记录表》，培训题目：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w:t>
            </w:r>
          </w:p>
          <w:p>
            <w:pPr>
              <w:pStyle w:val="4"/>
              <w:widowControl/>
              <w:spacing w:line="360" w:lineRule="auto"/>
              <w:ind w:firstLine="420" w:firstLineChars="200"/>
              <w:rPr>
                <w:rFonts w:ascii="Times New Roman" w:hAnsi="Times New Roman"/>
                <w:szCs w:val="21"/>
              </w:rPr>
            </w:pPr>
            <w:r>
              <w:rPr>
                <w:rFonts w:hint="eastAsia" w:ascii="Times New Roman" w:hAnsi="Times New Roman"/>
                <w:szCs w:val="21"/>
              </w:rPr>
              <w:t>抽1：</w:t>
            </w:r>
            <w:r>
              <w:rPr>
                <w:rFonts w:hint="eastAsia" w:hAnsi="宋体"/>
                <w:szCs w:val="21"/>
                <w:lang w:eastAsia="zh-CN"/>
              </w:rPr>
              <w:t>202</w:t>
            </w:r>
            <w:r>
              <w:rPr>
                <w:rFonts w:hint="eastAsia" w:hAnsi="宋体"/>
                <w:szCs w:val="21"/>
                <w:lang w:val="en-US" w:eastAsia="zh-CN"/>
              </w:rPr>
              <w:t>1</w:t>
            </w:r>
            <w:r>
              <w:rPr>
                <w:rFonts w:hint="eastAsia" w:hAnsi="宋体"/>
                <w:szCs w:val="21"/>
              </w:rPr>
              <w:t>年</w:t>
            </w:r>
            <w:r>
              <w:rPr>
                <w:rFonts w:hint="eastAsia" w:hAnsi="宋体"/>
                <w:szCs w:val="21"/>
                <w:lang w:val="en-US" w:eastAsia="zh-CN"/>
              </w:rPr>
              <w:t>5</w:t>
            </w:r>
            <w:r>
              <w:rPr>
                <w:rFonts w:hint="eastAsia" w:hAnsi="宋体"/>
                <w:szCs w:val="21"/>
              </w:rPr>
              <w:t>月4日，</w:t>
            </w:r>
            <w:r>
              <w:rPr>
                <w:rFonts w:hint="eastAsia" w:ascii="Times New Roman" w:hAnsi="Times New Roman"/>
                <w:szCs w:val="21"/>
              </w:rPr>
              <w:t>在会议室进行了管理体系内审员培训，参加人员</w:t>
            </w:r>
            <w:r>
              <w:rPr>
                <w:rFonts w:hint="eastAsia"/>
                <w:color w:val="000000"/>
                <w:szCs w:val="21"/>
              </w:rPr>
              <w:t>任丽、许静、刘猛 、杜纯</w:t>
            </w:r>
            <w:r>
              <w:rPr>
                <w:rFonts w:hint="eastAsia" w:ascii="Times New Roman" w:hAnsi="Times New Roman"/>
                <w:szCs w:val="21"/>
              </w:rPr>
              <w:t>；培训效果评价  达到预期效果。评价人：</w:t>
            </w:r>
            <w:r>
              <w:rPr>
                <w:rFonts w:hint="eastAsia"/>
              </w:rPr>
              <w:t>李老师</w:t>
            </w:r>
            <w:r>
              <w:rPr>
                <w:rFonts w:hint="eastAsia" w:ascii="Times New Roman" w:hAnsi="Times New Roman"/>
                <w:szCs w:val="21"/>
              </w:rPr>
              <w:t>。</w:t>
            </w:r>
          </w:p>
          <w:p>
            <w:pPr>
              <w:spacing w:line="360" w:lineRule="auto"/>
            </w:pPr>
            <w:r>
              <w:rPr>
                <w:rFonts w:hint="eastAsia"/>
                <w:szCs w:val="21"/>
              </w:rPr>
              <w:t>抽2培训时间：</w:t>
            </w:r>
            <w:r>
              <w:rPr>
                <w:rFonts w:hint="eastAsia"/>
                <w:lang w:eastAsia="zh-CN"/>
              </w:rPr>
              <w:t>202</w:t>
            </w:r>
            <w:r>
              <w:rPr>
                <w:rFonts w:hint="eastAsia"/>
                <w:lang w:val="en-US" w:eastAsia="zh-CN"/>
              </w:rPr>
              <w:t>1</w:t>
            </w:r>
            <w:r>
              <w:rPr>
                <w:rFonts w:hint="eastAsia"/>
              </w:rPr>
              <w:t xml:space="preserve"> .</w:t>
            </w:r>
            <w:r>
              <w:rPr>
                <w:rFonts w:hint="eastAsia"/>
                <w:lang w:val="en-US" w:eastAsia="zh-CN"/>
              </w:rPr>
              <w:t>7</w:t>
            </w:r>
            <w:r>
              <w:rPr>
                <w:rFonts w:hint="eastAsia"/>
              </w:rPr>
              <w:t>.15</w:t>
            </w:r>
            <w:r>
              <w:rPr>
                <w:rFonts w:hint="eastAsia"/>
                <w:szCs w:val="21"/>
              </w:rPr>
              <w:t>，培训人</w:t>
            </w:r>
            <w:r>
              <w:rPr>
                <w:rFonts w:hint="eastAsia"/>
              </w:rPr>
              <w:t>李老师，</w:t>
            </w:r>
            <w:r>
              <w:rPr>
                <w:rFonts w:hint="eastAsia"/>
                <w:szCs w:val="21"/>
              </w:rPr>
              <w:t>培训人员：</w:t>
            </w:r>
            <w:r>
              <w:rPr>
                <w:rFonts w:hint="eastAsia"/>
              </w:rPr>
              <w:t>刘猛、许静、杜纯、任丽等</w:t>
            </w:r>
            <w:r>
              <w:rPr>
                <w:rFonts w:hint="eastAsia"/>
                <w:szCs w:val="21"/>
              </w:rPr>
              <w:t xml:space="preserve"> 。培训有效性评价：培训内容：</w:t>
            </w:r>
            <w:r>
              <w:rPr>
                <w:rFonts w:hint="eastAsia" w:hAnsi="宋体"/>
                <w:szCs w:val="21"/>
              </w:rPr>
              <w:t>ISO14001：2015标准知识、概念培训</w:t>
            </w:r>
            <w:r>
              <w:rPr>
                <w:rFonts w:hint="eastAsia"/>
                <w:szCs w:val="21"/>
              </w:rPr>
              <w:t>，培训取得预期效果。评价人：</w:t>
            </w:r>
            <w:r>
              <w:rPr>
                <w:rFonts w:hint="eastAsia"/>
              </w:rPr>
              <w:t>李老师</w:t>
            </w:r>
            <w:r>
              <w:rPr>
                <w:rFonts w:hint="eastAsia"/>
                <w:szCs w:val="21"/>
              </w:rPr>
              <w:t xml:space="preserve">。 </w:t>
            </w:r>
          </w:p>
          <w:p>
            <w:pPr>
              <w:spacing w:line="360" w:lineRule="auto"/>
            </w:pPr>
            <w:r>
              <w:rPr>
                <w:rFonts w:hint="eastAsia"/>
                <w:szCs w:val="21"/>
              </w:rPr>
              <w:t>抽3、</w:t>
            </w:r>
            <w:r>
              <w:rPr>
                <w:rFonts w:hint="eastAsia"/>
                <w:lang w:eastAsia="zh-CN"/>
              </w:rPr>
              <w:t>202</w:t>
            </w:r>
            <w:r>
              <w:rPr>
                <w:rFonts w:hint="eastAsia"/>
                <w:lang w:val="en-US" w:eastAsia="zh-CN"/>
              </w:rPr>
              <w:t>1</w:t>
            </w:r>
            <w:r>
              <w:rPr>
                <w:rFonts w:hint="eastAsia"/>
              </w:rPr>
              <w:t xml:space="preserve"> .4.1</w:t>
            </w:r>
            <w:r>
              <w:rPr>
                <w:rFonts w:hint="eastAsia"/>
                <w:szCs w:val="21"/>
              </w:rPr>
              <w:t>培训记录：管理手册、程序文件培训。培训取得预期效果。参加人员：</w:t>
            </w:r>
            <w:r>
              <w:rPr>
                <w:rFonts w:hint="eastAsia"/>
              </w:rPr>
              <w:t>刘猛、许静、杜纯、任丽</w:t>
            </w:r>
            <w:r>
              <w:rPr>
                <w:rFonts w:hint="eastAsia"/>
                <w:szCs w:val="21"/>
              </w:rPr>
              <w:t>。训有效性评价：培训取得预期效果。评价人：</w:t>
            </w:r>
            <w:r>
              <w:rPr>
                <w:rFonts w:hint="eastAsia"/>
              </w:rPr>
              <w:t>李老师</w:t>
            </w:r>
            <w:r>
              <w:rPr>
                <w:rFonts w:hint="eastAsia"/>
                <w:szCs w:val="21"/>
              </w:rPr>
              <w:t>。</w:t>
            </w:r>
          </w:p>
          <w:p>
            <w:pPr>
              <w:pStyle w:val="4"/>
              <w:widowControl/>
              <w:spacing w:line="360" w:lineRule="auto"/>
              <w:ind w:firstLine="420" w:firstLineChars="200"/>
              <w:rPr>
                <w:rFonts w:ascii="Times New Roman" w:hAnsi="Times New Roman"/>
                <w:szCs w:val="21"/>
              </w:rPr>
            </w:pPr>
            <w:r>
              <w:rPr>
                <w:rFonts w:hint="eastAsia" w:ascii="Times New Roman" w:hAnsi="Times New Roman"/>
                <w:szCs w:val="21"/>
              </w:rPr>
              <w:t>提供相应的培训记录，及人员签到表和培训效果评价。</w:t>
            </w:r>
          </w:p>
          <w:p>
            <w:pPr>
              <w:pStyle w:val="11"/>
              <w:spacing w:line="360" w:lineRule="auto"/>
              <w:ind w:firstLine="420" w:firstLineChars="200"/>
              <w:rPr>
                <w:bCs w:val="0"/>
                <w:spacing w:val="0"/>
                <w:szCs w:val="21"/>
              </w:rPr>
            </w:pPr>
            <w:r>
              <w:rPr>
                <w:rFonts w:hint="eastAsia"/>
                <w:bCs w:val="0"/>
                <w:spacing w:val="0"/>
                <w:szCs w:val="21"/>
              </w:rPr>
              <w:t>目前公司人员比较稳定，人员没有变化，没有新员工，故没有新员工培训记录</w:t>
            </w:r>
          </w:p>
          <w:p>
            <w:pPr>
              <w:pStyle w:val="11"/>
              <w:spacing w:line="360" w:lineRule="auto"/>
              <w:ind w:firstLine="460" w:firstLineChars="200"/>
              <w:rPr>
                <w:szCs w:val="21"/>
              </w:rPr>
            </w:pPr>
            <w:r>
              <w:rPr>
                <w:rFonts w:hint="eastAsia"/>
                <w:szCs w:val="21"/>
              </w:rPr>
              <w:t>人力资源控制基本满足要求。</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56" w:type="dxa"/>
            <w:vAlign w:val="center"/>
          </w:tcPr>
          <w:p>
            <w:pPr>
              <w:spacing w:line="360" w:lineRule="auto"/>
            </w:pPr>
            <w:r>
              <w:rPr>
                <w:rFonts w:hint="eastAsia"/>
                <w:szCs w:val="21"/>
              </w:rPr>
              <w:t>意识</w:t>
            </w:r>
          </w:p>
        </w:tc>
        <w:tc>
          <w:tcPr>
            <w:tcW w:w="1164" w:type="dxa"/>
            <w:vAlign w:val="center"/>
          </w:tcPr>
          <w:p>
            <w:pPr>
              <w:spacing w:line="360" w:lineRule="auto"/>
              <w:rPr>
                <w:szCs w:val="21"/>
              </w:rPr>
            </w:pPr>
            <w:r>
              <w:rPr>
                <w:rFonts w:hint="eastAsia"/>
                <w:szCs w:val="21"/>
              </w:rPr>
              <w:t>E7.3</w:t>
            </w:r>
          </w:p>
          <w:p>
            <w:pPr>
              <w:spacing w:line="360" w:lineRule="auto"/>
            </w:pPr>
          </w:p>
        </w:tc>
        <w:tc>
          <w:tcPr>
            <w:tcW w:w="10809" w:type="dxa"/>
            <w:vAlign w:val="center"/>
          </w:tcPr>
          <w:p>
            <w:pPr>
              <w:spacing w:line="360" w:lineRule="auto"/>
              <w:ind w:firstLine="420" w:firstLineChars="200"/>
              <w:rPr>
                <w:szCs w:val="21"/>
              </w:rPr>
            </w:pPr>
            <w:r>
              <w:rPr>
                <w:rFonts w:hint="eastAsia"/>
                <w:szCs w:val="21"/>
              </w:rPr>
              <w:t>主要通过培训提高岗位作业水平及质量和环境、安全意识，明确各岗位要求，销售、采购及办公人员自身工作对环境、安全目标的影响，以及如何通过培训和互相交流提高环境绩效，不符合质量管理体系要求的后果等。</w:t>
            </w:r>
          </w:p>
          <w:p>
            <w:pPr>
              <w:spacing w:line="360" w:lineRule="auto"/>
              <w:ind w:firstLine="420" w:firstLineChars="200"/>
            </w:pPr>
            <w:r>
              <w:rPr>
                <w:rFonts w:hint="eastAsia"/>
                <w:szCs w:val="21"/>
              </w:rPr>
              <w:t>现场询问管理部人员，清楚与其相关的重要环境因素及职业健康安全风险。</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spacing w:line="360" w:lineRule="auto"/>
            </w:pPr>
            <w:r>
              <w:rPr>
                <w:rFonts w:hint="eastAsia"/>
                <w:szCs w:val="21"/>
              </w:rPr>
              <w:t>信息交流</w:t>
            </w:r>
          </w:p>
        </w:tc>
        <w:tc>
          <w:tcPr>
            <w:tcW w:w="1164" w:type="dxa"/>
            <w:vAlign w:val="center"/>
          </w:tcPr>
          <w:p>
            <w:pPr>
              <w:spacing w:line="360" w:lineRule="auto"/>
              <w:rPr>
                <w:szCs w:val="21"/>
                <w:highlight w:val="red"/>
              </w:rPr>
            </w:pPr>
            <w:r>
              <w:rPr>
                <w:rFonts w:hint="eastAsia"/>
                <w:szCs w:val="21"/>
              </w:rPr>
              <w:t>E7.4</w:t>
            </w:r>
          </w:p>
          <w:p>
            <w:pPr>
              <w:spacing w:line="360" w:lineRule="auto"/>
              <w:rPr>
                <w:szCs w:val="21"/>
              </w:rPr>
            </w:pPr>
          </w:p>
          <w:p>
            <w:pPr>
              <w:pStyle w:val="11"/>
              <w:spacing w:line="360" w:lineRule="auto"/>
              <w:rPr>
                <w:sz w:val="24"/>
                <w:szCs w:val="24"/>
              </w:rPr>
            </w:pPr>
          </w:p>
        </w:tc>
        <w:tc>
          <w:tcPr>
            <w:tcW w:w="10809" w:type="dxa"/>
            <w:vAlign w:val="center"/>
          </w:tcPr>
          <w:p>
            <w:pPr>
              <w:spacing w:line="360" w:lineRule="auto"/>
              <w:ind w:firstLine="420" w:firstLineChars="200"/>
              <w:rPr>
                <w:szCs w:val="21"/>
              </w:rPr>
            </w:pPr>
            <w:r>
              <w:rPr>
                <w:rFonts w:hint="eastAsia"/>
                <w:szCs w:val="21"/>
              </w:rPr>
              <w:t>策划编制的程序文件《信息交流与协商沟通控制程序》及管理手册的相关章节规定了企业内、外部沟通和员工就职业健康安全事务参与、协商的要求，经查阅和交谈符合标准要求。</w:t>
            </w:r>
          </w:p>
          <w:p>
            <w:pPr>
              <w:spacing w:line="360" w:lineRule="auto"/>
              <w:ind w:firstLine="420" w:firstLineChars="200"/>
              <w:rPr>
                <w:szCs w:val="21"/>
              </w:rPr>
            </w:pPr>
            <w:r>
              <w:rPr>
                <w:rFonts w:hint="eastAsia"/>
                <w:szCs w:val="21"/>
              </w:rPr>
              <w:t>总经理负责在公司建立畅通的沟通渠道。管理者代表是公司内部和外部信息交流和沟通的负责人。管理部是公司内部和外部信息交流和协商的归口管理部。负责与上级主管部门及周边单位的信息交流；负责与管理体系、法律法规等有关的内部和外部信息交流；负责内外部的沟通。各部门收集到有关职业健康安全方面的信息，包括法律法规等，及时向管理部反馈。业务部负责顾客要求方面的有关事宜的沟通。</w:t>
            </w:r>
          </w:p>
          <w:p>
            <w:pPr>
              <w:spacing w:line="360" w:lineRule="auto"/>
              <w:ind w:firstLine="420" w:firstLineChars="200"/>
              <w:rPr>
                <w:szCs w:val="21"/>
              </w:rPr>
            </w:pPr>
            <w:r>
              <w:rPr>
                <w:rFonts w:hint="eastAsia"/>
                <w:szCs w:val="21"/>
              </w:rPr>
              <w:t>目前各项沟通都较为及时、顺畅、效果较好。</w:t>
            </w:r>
          </w:p>
          <w:p>
            <w:pPr>
              <w:spacing w:line="360" w:lineRule="auto"/>
              <w:ind w:firstLine="420" w:firstLineChars="200"/>
            </w:pPr>
            <w:r>
              <w:rPr>
                <w:rFonts w:hint="eastAsia"/>
                <w:szCs w:val="21"/>
              </w:rPr>
              <w:t>通过安全事务代表的积极争取，员工的劳保用品得到合理配备并及时发放；员工保险得到按时交纳等。</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Align w:val="center"/>
          </w:tcPr>
          <w:p>
            <w:pPr>
              <w:spacing w:line="360" w:lineRule="auto"/>
              <w:rPr>
                <w:szCs w:val="21"/>
              </w:rPr>
            </w:pPr>
            <w:r>
              <w:rPr>
                <w:rFonts w:hint="eastAsia"/>
                <w:szCs w:val="21"/>
              </w:rPr>
              <w:t>内部审核</w:t>
            </w:r>
          </w:p>
        </w:tc>
        <w:tc>
          <w:tcPr>
            <w:tcW w:w="1164" w:type="dxa"/>
            <w:vAlign w:val="center"/>
          </w:tcPr>
          <w:p>
            <w:pPr>
              <w:spacing w:line="360" w:lineRule="auto"/>
              <w:rPr>
                <w:szCs w:val="21"/>
              </w:rPr>
            </w:pPr>
            <w:r>
              <w:rPr>
                <w:rFonts w:hint="eastAsia"/>
                <w:szCs w:val="21"/>
              </w:rPr>
              <w:t>E9.2</w:t>
            </w:r>
          </w:p>
          <w:p>
            <w:pPr>
              <w:spacing w:line="360" w:lineRule="auto"/>
              <w:rPr>
                <w:sz w:val="24"/>
                <w:szCs w:val="24"/>
              </w:rPr>
            </w:pPr>
          </w:p>
        </w:tc>
        <w:tc>
          <w:tcPr>
            <w:tcW w:w="10809" w:type="dxa"/>
            <w:vAlign w:val="center"/>
          </w:tcPr>
          <w:p>
            <w:pPr>
              <w:spacing w:line="360" w:lineRule="auto"/>
              <w:ind w:firstLine="420" w:firstLineChars="200"/>
            </w:pPr>
            <w:r>
              <w:rPr>
                <w:rFonts w:hint="eastAsia"/>
              </w:rPr>
              <w:t>公司制定</w:t>
            </w:r>
            <w:r>
              <w:rPr>
                <w:rFonts w:hint="eastAsia"/>
                <w:szCs w:val="22"/>
              </w:rPr>
              <w:t>《</w:t>
            </w:r>
            <w:r>
              <w:rPr>
                <w:rFonts w:hint="eastAsia"/>
              </w:rPr>
              <w:t>内部审核控制程序》，对内部审核方案策划规定：</w:t>
            </w:r>
          </w:p>
          <w:p>
            <w:pPr>
              <w:spacing w:line="360" w:lineRule="auto"/>
            </w:pPr>
            <w:r>
              <w:rPr>
                <w:rFonts w:hint="eastAsia"/>
              </w:rPr>
              <w:t>1.频次：内审每年进行一次，两次内部审核的时间间隔不超过12个月。</w:t>
            </w:r>
          </w:p>
          <w:p>
            <w:pPr>
              <w:spacing w:line="360" w:lineRule="auto"/>
            </w:pPr>
            <w:r>
              <w:rPr>
                <w:rFonts w:hint="eastAsia"/>
              </w:rPr>
              <w:t>2.方法：按部门/过程审核。</w:t>
            </w:r>
          </w:p>
          <w:p>
            <w:pPr>
              <w:spacing w:line="360" w:lineRule="auto"/>
            </w:pPr>
            <w:r>
              <w:rPr>
                <w:rFonts w:hint="eastAsia"/>
              </w:rPr>
              <w:t>3.职责：体系负责人组织内部审核活动。</w:t>
            </w:r>
          </w:p>
          <w:p>
            <w:pPr>
              <w:spacing w:line="360" w:lineRule="auto"/>
            </w:pPr>
            <w:r>
              <w:rPr>
                <w:rFonts w:hint="eastAsia"/>
              </w:rPr>
              <w:t>4.策划要求：范围、准则、工作分配等。</w:t>
            </w:r>
          </w:p>
          <w:p>
            <w:pPr>
              <w:spacing w:line="360" w:lineRule="auto"/>
            </w:pPr>
            <w:r>
              <w:rPr>
                <w:rFonts w:hint="eastAsia"/>
              </w:rPr>
              <w:t>5.报告：体系负责人在内部审核结束及纠正措施完成后应向总经理报告审核结果。</w:t>
            </w:r>
          </w:p>
          <w:p>
            <w:pPr>
              <w:spacing w:line="360" w:lineRule="auto"/>
            </w:pPr>
            <w:r>
              <w:rPr>
                <w:rFonts w:hint="eastAsia"/>
              </w:rPr>
              <w:t>6.提供了《</w:t>
            </w:r>
            <w:r>
              <w:rPr>
                <w:rFonts w:hint="eastAsia"/>
                <w:lang w:eastAsia="zh-CN"/>
              </w:rPr>
              <w:t>202</w:t>
            </w:r>
            <w:r>
              <w:rPr>
                <w:rFonts w:hint="eastAsia"/>
                <w:lang w:val="en-US" w:eastAsia="zh-CN"/>
              </w:rPr>
              <w:t>1</w:t>
            </w:r>
            <w:r>
              <w:rPr>
                <w:rFonts w:hint="eastAsia"/>
              </w:rPr>
              <w:t>年内部审核实施计划》，发布了内部管理体系审核通知，计划内容有：目的、范围、审核准则、审核时间</w:t>
            </w:r>
            <w:r>
              <w:rPr>
                <w:rFonts w:hint="eastAsia"/>
                <w:spacing w:val="-4"/>
                <w:sz w:val="24"/>
                <w:lang w:eastAsia="zh-CN"/>
              </w:rPr>
              <w:t>202</w:t>
            </w:r>
            <w:r>
              <w:rPr>
                <w:rFonts w:hint="eastAsia"/>
                <w:spacing w:val="-4"/>
                <w:sz w:val="24"/>
                <w:lang w:val="en-US" w:eastAsia="zh-CN"/>
              </w:rPr>
              <w:t>1</w:t>
            </w:r>
            <w:r>
              <w:rPr>
                <w:rFonts w:hint="eastAsia"/>
                <w:spacing w:val="-4"/>
                <w:sz w:val="24"/>
              </w:rPr>
              <w:t>年</w:t>
            </w:r>
            <w:r>
              <w:rPr>
                <w:rFonts w:hint="eastAsia"/>
                <w:spacing w:val="-4"/>
                <w:sz w:val="24"/>
                <w:lang w:val="en-US" w:eastAsia="zh-CN"/>
              </w:rPr>
              <w:t>7</w:t>
            </w:r>
            <w:r>
              <w:rPr>
                <w:rFonts w:hint="eastAsia"/>
                <w:spacing w:val="-4"/>
                <w:sz w:val="24"/>
              </w:rPr>
              <w:t>月</w:t>
            </w:r>
            <w:r>
              <w:rPr>
                <w:rFonts w:hint="eastAsia"/>
                <w:spacing w:val="-4"/>
                <w:sz w:val="24"/>
                <w:lang w:val="en-US" w:eastAsia="zh-CN"/>
              </w:rPr>
              <w:t>13</w:t>
            </w:r>
            <w:r>
              <w:rPr>
                <w:rFonts w:hint="eastAsia"/>
                <w:spacing w:val="-4"/>
                <w:sz w:val="24"/>
              </w:rPr>
              <w:t>日</w:t>
            </w:r>
            <w:r>
              <w:rPr>
                <w:rFonts w:hint="eastAsia"/>
                <w:szCs w:val="22"/>
              </w:rPr>
              <w:t>。编制：管理部   审核：许静    批准：杜汉清 ，</w:t>
            </w:r>
          </w:p>
          <w:p>
            <w:pPr>
              <w:spacing w:line="360" w:lineRule="auto"/>
            </w:pPr>
            <w:r>
              <w:rPr>
                <w:rFonts w:hint="eastAsia"/>
              </w:rPr>
              <w:t>查阅</w:t>
            </w:r>
            <w:r>
              <w:rPr>
                <w:rFonts w:hint="eastAsia"/>
                <w:lang w:eastAsia="zh-CN"/>
              </w:rPr>
              <w:t>2020</w:t>
            </w:r>
            <w:r>
              <w:rPr>
                <w:rFonts w:hint="eastAsia"/>
              </w:rPr>
              <w:t>年度内部审核有关记录</w:t>
            </w:r>
          </w:p>
          <w:p>
            <w:pPr>
              <w:spacing w:line="360" w:lineRule="auto"/>
              <w:ind w:firstLine="420" w:firstLineChars="200"/>
              <w:rPr>
                <w:rFonts w:hint="eastAsia" w:ascii="宋体" w:hAnsi="宋体" w:cs="宋体"/>
                <w:b/>
                <w:bCs/>
                <w:color w:val="000000"/>
                <w:sz w:val="24"/>
              </w:rPr>
            </w:pPr>
            <w:r>
              <w:rPr>
                <w:rFonts w:hint="eastAsia"/>
              </w:rPr>
              <w:t>提供了审核组名单：</w:t>
            </w:r>
            <w:r>
              <w:rPr>
                <w:rFonts w:hint="eastAsia" w:ascii="宋体" w:hAnsi="宋体"/>
                <w:color w:val="000000"/>
                <w:szCs w:val="21"/>
              </w:rPr>
              <w:t>组长：</w:t>
            </w:r>
            <w:r>
              <w:rPr>
                <w:rFonts w:hint="eastAsia"/>
                <w:color w:val="000000"/>
                <w:szCs w:val="21"/>
              </w:rPr>
              <w:t>许静</w:t>
            </w:r>
            <w:r>
              <w:rPr>
                <w:rFonts w:hint="eastAsia" w:ascii="宋体" w:hAnsi="宋体" w:cs="宋体"/>
                <w:b/>
                <w:bCs/>
                <w:color w:val="000000"/>
                <w:sz w:val="24"/>
                <w:lang w:val="en-US" w:eastAsia="zh-CN"/>
              </w:rPr>
              <w:t xml:space="preserve">  </w:t>
            </w:r>
            <w:r>
              <w:rPr>
                <w:rFonts w:hint="eastAsia" w:ascii="宋体" w:hAnsi="宋体"/>
                <w:color w:val="000000"/>
                <w:szCs w:val="21"/>
              </w:rPr>
              <w:t xml:space="preserve">   组员： </w:t>
            </w:r>
            <w:r>
              <w:rPr>
                <w:rFonts w:hint="eastAsia"/>
                <w:color w:val="000000"/>
                <w:szCs w:val="21"/>
              </w:rPr>
              <w:t>任丽　　刘猛   杜纯</w:t>
            </w:r>
          </w:p>
          <w:p>
            <w:pPr>
              <w:spacing w:line="360" w:lineRule="auto"/>
              <w:ind w:firstLine="420" w:firstLineChars="200"/>
            </w:pPr>
            <w:r>
              <w:rPr>
                <w:rFonts w:hint="eastAsia"/>
              </w:rPr>
              <w:t>审核范围：公司领导层、各部门。查全条款覆盖。</w:t>
            </w:r>
          </w:p>
          <w:p>
            <w:pPr>
              <w:spacing w:line="360" w:lineRule="auto"/>
            </w:pPr>
            <w:r>
              <w:t>3</w:t>
            </w:r>
            <w:r>
              <w:rPr>
                <w:rFonts w:hint="eastAsia"/>
              </w:rPr>
              <w:t>.审核准则： ISO14001：2015《环境管理体系 要求及使用指南》，公司管理体系文件、适用的法律法规、产品标准等。</w:t>
            </w:r>
          </w:p>
          <w:p>
            <w:pPr>
              <w:spacing w:line="360" w:lineRule="auto"/>
            </w:pPr>
            <w:r>
              <w:t>4</w:t>
            </w:r>
            <w:r>
              <w:rPr>
                <w:rFonts w:hint="eastAsia"/>
              </w:rPr>
              <w:t>.提供了《内审首次会议签到表》，参加人有各部门负责人等。</w:t>
            </w:r>
          </w:p>
          <w:p>
            <w:pPr>
              <w:spacing w:line="360" w:lineRule="auto"/>
            </w:pPr>
            <w:r>
              <w:t>5</w:t>
            </w:r>
            <w:r>
              <w:rPr>
                <w:rFonts w:hint="eastAsia"/>
              </w:rPr>
              <w:t>.提供了《内审检查表》，经查阅对照，受审核部门涉及条款与公司管理体系职责分配相一致。审核记录基本满足要求。</w:t>
            </w:r>
          </w:p>
          <w:p>
            <w:pPr>
              <w:spacing w:line="360" w:lineRule="auto"/>
              <w:rPr>
                <w:rFonts w:hint="eastAsia"/>
              </w:rPr>
            </w:pPr>
            <w:r>
              <w:t>6</w:t>
            </w:r>
            <w:r>
              <w:rPr>
                <w:rFonts w:hint="eastAsia"/>
              </w:rPr>
              <w:t>.提供了《内审不合格报告》</w:t>
            </w:r>
          </w:p>
          <w:p>
            <w:pPr>
              <w:pStyle w:val="11"/>
              <w:spacing w:line="360" w:lineRule="auto"/>
              <w:rPr>
                <w:rFonts w:hint="default" w:eastAsia="宋体"/>
                <w:lang w:val="en-US" w:eastAsia="zh-CN"/>
              </w:rPr>
            </w:pPr>
            <w:r>
              <w:rPr>
                <w:rFonts w:hint="eastAsia"/>
                <w:lang w:val="en-US" w:eastAsia="zh-CN"/>
              </w:rPr>
              <w:t>经过整改不符合已经关闭</w:t>
            </w:r>
          </w:p>
          <w:p>
            <w:pPr>
              <w:spacing w:line="360" w:lineRule="auto"/>
            </w:pPr>
            <w:r>
              <w:rPr>
                <w:rFonts w:hint="eastAsia"/>
              </w:rPr>
              <w:t>对于涉及不符合项的部门，进行了原因分析并制定纠正措施计划，经过审核组验证，纠正措施有效。</w:t>
            </w:r>
          </w:p>
          <w:p>
            <w:pPr>
              <w:spacing w:line="360" w:lineRule="auto"/>
            </w:pPr>
            <w:r>
              <w:t>7.</w:t>
            </w:r>
            <w:r>
              <w:rPr>
                <w:rFonts w:hint="eastAsia"/>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5日内整改完毕，由管代组织相关内审员对整改后的情况进行跟踪验证，确认纠正及纠正措施有效，体系的建立、运行符合质量管理体系要求。</w:t>
            </w:r>
          </w:p>
          <w:p>
            <w:pPr>
              <w:spacing w:line="360" w:lineRule="auto"/>
              <w:ind w:firstLine="420" w:firstLineChars="200"/>
            </w:pPr>
            <w:r>
              <w:rPr>
                <w:rFonts w:hint="eastAsia"/>
              </w:rPr>
              <w:t xml:space="preserve">审核结论：基本符合计划安排和标准的要求，并得到了较有效实施和保持， 仍需进一步改进。   </w:t>
            </w:r>
            <w:r>
              <w:t xml:space="preserve"> </w:t>
            </w:r>
          </w:p>
          <w:p>
            <w:pPr>
              <w:spacing w:line="360" w:lineRule="auto"/>
            </w:pPr>
            <w:r>
              <w:rPr>
                <w:rFonts w:hint="eastAsia"/>
              </w:rPr>
              <w:t>审核组长：</w:t>
            </w:r>
            <w:r>
              <w:rPr>
                <w:rFonts w:hint="eastAsia"/>
                <w:color w:val="000000"/>
                <w:szCs w:val="21"/>
              </w:rPr>
              <w:t>许静</w:t>
            </w:r>
            <w:r>
              <w:rPr>
                <w:rFonts w:hint="eastAsia" w:ascii="宋体" w:hAnsi="宋体" w:cs="宋体"/>
                <w:b/>
                <w:bCs/>
                <w:color w:val="000000"/>
                <w:sz w:val="24"/>
              </w:rPr>
              <w:t xml:space="preserve"> </w:t>
            </w:r>
            <w:r>
              <w:rPr>
                <w:rFonts w:hint="eastAsia" w:ascii="宋体" w:hAnsi="宋体"/>
                <w:color w:val="000000"/>
                <w:szCs w:val="21"/>
              </w:rPr>
              <w:t xml:space="preserve">  </w:t>
            </w:r>
            <w:r>
              <w:rPr>
                <w:rFonts w:hint="eastAsia"/>
              </w:rPr>
              <w:t>批</w:t>
            </w:r>
            <w:r>
              <w:rPr>
                <w:rFonts w:hint="eastAsia" w:ascii="Times New Roman" w:hAnsi="Times New Roman" w:eastAsia="宋体" w:cs="Times New Roman"/>
              </w:rPr>
              <w:t xml:space="preserve">准：杜汉清 </w:t>
            </w:r>
            <w:r>
              <w:rPr>
                <w:rFonts w:hint="eastAsia"/>
              </w:rPr>
              <w:t xml:space="preserve"> </w:t>
            </w:r>
          </w:p>
          <w:p>
            <w:pPr>
              <w:spacing w:line="360" w:lineRule="auto"/>
              <w:ind w:firstLine="420" w:firstLineChars="200"/>
              <w:rPr>
                <w:szCs w:val="21"/>
              </w:rPr>
            </w:pPr>
            <w:r>
              <w:rPr>
                <w:rFonts w:hint="eastAsia"/>
              </w:rPr>
              <w:t>提供了内审员培训记录，审核员没有审核自己部门工作，具有独立性。</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956" w:type="dxa"/>
            <w:vAlign w:val="center"/>
          </w:tcPr>
          <w:p>
            <w:pPr>
              <w:spacing w:line="360" w:lineRule="auto"/>
              <w:rPr>
                <w:szCs w:val="21"/>
              </w:rPr>
            </w:pPr>
            <w:r>
              <w:rPr>
                <w:rFonts w:hint="eastAsia"/>
                <w:szCs w:val="21"/>
              </w:rPr>
              <w:t>不符合和纠正措施</w:t>
            </w:r>
          </w:p>
          <w:p>
            <w:pPr>
              <w:spacing w:line="360" w:lineRule="auto"/>
              <w:rPr>
                <w:szCs w:val="21"/>
              </w:rPr>
            </w:pPr>
            <w:r>
              <w:rPr>
                <w:rFonts w:hint="eastAsia"/>
                <w:szCs w:val="21"/>
              </w:rPr>
              <w:t>事件调查、不符合、纠正措施和预防措施</w:t>
            </w:r>
          </w:p>
        </w:tc>
        <w:tc>
          <w:tcPr>
            <w:tcW w:w="1164" w:type="dxa"/>
            <w:vAlign w:val="center"/>
          </w:tcPr>
          <w:p>
            <w:pPr>
              <w:spacing w:line="360" w:lineRule="auto"/>
              <w:rPr>
                <w:szCs w:val="21"/>
              </w:rPr>
            </w:pPr>
            <w:r>
              <w:rPr>
                <w:szCs w:val="21"/>
              </w:rPr>
              <w:t>E10.2</w:t>
            </w:r>
          </w:p>
          <w:p>
            <w:pPr>
              <w:pStyle w:val="11"/>
              <w:spacing w:line="360" w:lineRule="auto"/>
              <w:rPr>
                <w:sz w:val="24"/>
                <w:szCs w:val="24"/>
              </w:rPr>
            </w:pPr>
          </w:p>
        </w:tc>
        <w:tc>
          <w:tcPr>
            <w:tcW w:w="10809" w:type="dxa"/>
            <w:vAlign w:val="center"/>
          </w:tcPr>
          <w:p>
            <w:pPr>
              <w:spacing w:line="360" w:lineRule="auto"/>
              <w:ind w:firstLine="420" w:firstLineChars="200"/>
              <w:rPr>
                <w:szCs w:val="21"/>
              </w:rPr>
            </w:pPr>
            <w:r>
              <w:rPr>
                <w:rFonts w:hint="eastAsia"/>
                <w:szCs w:val="21"/>
              </w:rPr>
              <w:t>企业通过过程的监视和测量、绩效考核、内审、管理评审等方式和机制，确保质量管理制度有效执行。</w:t>
            </w:r>
          </w:p>
          <w:p>
            <w:pPr>
              <w:spacing w:line="360" w:lineRule="auto"/>
              <w:ind w:firstLine="420" w:firstLineChars="200"/>
              <w:rPr>
                <w:szCs w:val="21"/>
              </w:rPr>
            </w:pPr>
            <w:r>
              <w:rPr>
                <w:rFonts w:hint="eastAsia"/>
                <w:szCs w:val="21"/>
              </w:rPr>
              <w:t>企业经过策划，采用对产品的监视和测量，对不合格品控制等来证实产品的符合性。</w:t>
            </w:r>
          </w:p>
          <w:p>
            <w:pPr>
              <w:spacing w:line="360" w:lineRule="auto"/>
              <w:ind w:firstLine="420" w:firstLineChars="200"/>
              <w:rPr>
                <w:szCs w:val="21"/>
              </w:rPr>
            </w:pPr>
            <w:r>
              <w:rPr>
                <w:rFonts w:hint="eastAsia"/>
                <w:szCs w:val="21"/>
              </w:rPr>
              <w:t>企业制定《不符合、纠正和预防措施控制程序》等，通过分析实际存在的或潜在的不符合的原因，制定纠正和预防措施，并验证其效果，以防止不符合的发生／再发生，实现持续改进绩效的目的。</w:t>
            </w:r>
          </w:p>
          <w:p>
            <w:pPr>
              <w:spacing w:line="360" w:lineRule="auto"/>
              <w:ind w:firstLine="420" w:firstLineChars="200"/>
              <w:rPr>
                <w:szCs w:val="21"/>
              </w:rPr>
            </w:pPr>
            <w:r>
              <w:rPr>
                <w:rFonts w:hint="eastAsia"/>
                <w:szCs w:val="21"/>
              </w:rPr>
              <w:t xml:space="preserve">对内审中的不符合，采取了纠正措施，并验证； </w:t>
            </w:r>
          </w:p>
          <w:p>
            <w:pPr>
              <w:spacing w:line="360" w:lineRule="auto"/>
              <w:ind w:firstLine="420" w:firstLineChars="200"/>
              <w:rPr>
                <w:szCs w:val="21"/>
              </w:rPr>
            </w:pPr>
            <w:r>
              <w:rPr>
                <w:rFonts w:hint="eastAsia"/>
                <w:szCs w:val="21"/>
              </w:rPr>
              <w:t>为保证公司职业健康安全管理体系的有效运行，通过对安全事件的调查处理，以确保管理体系运行的有效性。</w:t>
            </w:r>
          </w:p>
          <w:p>
            <w:pPr>
              <w:spacing w:line="360" w:lineRule="auto"/>
              <w:ind w:firstLine="420" w:firstLineChars="200"/>
              <w:rPr>
                <w:szCs w:val="21"/>
              </w:rPr>
            </w:pPr>
            <w:r>
              <w:rPr>
                <w:rFonts w:hint="eastAsia"/>
                <w:szCs w:val="21"/>
              </w:rPr>
              <w:t>经查在公司正常经营活动中，出现了轻微不符合，部门已经采取纠正和纠正措施，经验证纠正措施有效。</w:t>
            </w:r>
          </w:p>
          <w:p>
            <w:pPr>
              <w:spacing w:line="360" w:lineRule="auto"/>
              <w:ind w:firstLine="420" w:firstLineChars="200"/>
              <w:rPr>
                <w:szCs w:val="21"/>
              </w:rPr>
            </w:pPr>
            <w:r>
              <w:rPr>
                <w:rFonts w:hint="eastAsia"/>
                <w:szCs w:val="21"/>
              </w:rPr>
              <w:t>公司研发及销售活动未发生过环境、安全等事故。</w:t>
            </w:r>
          </w:p>
          <w:p>
            <w:pPr>
              <w:pStyle w:val="11"/>
              <w:spacing w:line="360" w:lineRule="auto"/>
              <w:rPr>
                <w:bCs w:val="0"/>
                <w:spacing w:val="0"/>
                <w:szCs w:val="21"/>
              </w:rPr>
            </w:pPr>
            <w:r>
              <w:rPr>
                <w:rFonts w:hint="eastAsia"/>
              </w:rPr>
              <w:t xml:space="preserve"> </w:t>
            </w:r>
            <w:r>
              <w:t xml:space="preserve">  </w:t>
            </w:r>
            <w:r>
              <w:rPr>
                <w:rFonts w:hint="eastAsia"/>
                <w:bCs w:val="0"/>
                <w:spacing w:val="0"/>
                <w:szCs w:val="21"/>
              </w:rPr>
              <w:t>查持续改进：</w:t>
            </w:r>
          </w:p>
          <w:p>
            <w:pPr>
              <w:pStyle w:val="11"/>
              <w:spacing w:line="360" w:lineRule="auto"/>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1"/>
              <w:spacing w:line="360" w:lineRule="auto"/>
              <w:ind w:firstLine="420" w:firstLineChars="200"/>
              <w:rPr>
                <w:bCs w:val="0"/>
                <w:spacing w:val="0"/>
                <w:szCs w:val="21"/>
              </w:rPr>
            </w:pPr>
            <w:r>
              <w:rPr>
                <w:rFonts w:hint="eastAsia"/>
                <w:bCs w:val="0"/>
                <w:spacing w:val="0"/>
                <w:szCs w:val="21"/>
              </w:rPr>
              <w:t>b. 通过数据分析、纠正、预防措施实施达到持续改进；</w:t>
            </w:r>
          </w:p>
          <w:p>
            <w:pPr>
              <w:pStyle w:val="11"/>
              <w:spacing w:line="360" w:lineRule="auto"/>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11"/>
              <w:spacing w:line="360" w:lineRule="auto"/>
              <w:ind w:firstLine="420" w:firstLineChars="200"/>
              <w:rPr>
                <w:szCs w:val="21"/>
              </w:rPr>
            </w:pPr>
            <w:r>
              <w:rPr>
                <w:rFonts w:hint="eastAsia"/>
                <w:bCs w:val="0"/>
                <w:spacing w:val="0"/>
                <w:szCs w:val="21"/>
              </w:rPr>
              <w:t>管理评审提出改进措施正在实施过程中。</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956" w:type="dxa"/>
            <w:vAlign w:val="center"/>
          </w:tcPr>
          <w:p>
            <w:pPr>
              <w:spacing w:line="360" w:lineRule="auto"/>
              <w:rPr>
                <w:szCs w:val="21"/>
              </w:rPr>
            </w:pPr>
            <w:r>
              <w:rPr>
                <w:rFonts w:hint="eastAsia"/>
                <w:szCs w:val="21"/>
              </w:rPr>
              <w:t>运行控制</w:t>
            </w:r>
          </w:p>
        </w:tc>
        <w:tc>
          <w:tcPr>
            <w:tcW w:w="1164" w:type="dxa"/>
            <w:vAlign w:val="center"/>
          </w:tcPr>
          <w:p>
            <w:pPr>
              <w:spacing w:line="360" w:lineRule="auto"/>
              <w:rPr>
                <w:szCs w:val="21"/>
              </w:rPr>
            </w:pPr>
            <w:r>
              <w:rPr>
                <w:rFonts w:hint="eastAsia"/>
                <w:szCs w:val="21"/>
              </w:rPr>
              <w:t>E8.1</w:t>
            </w:r>
          </w:p>
          <w:p>
            <w:pPr>
              <w:spacing w:line="360" w:lineRule="auto"/>
              <w:rPr>
                <w:sz w:val="24"/>
                <w:szCs w:val="24"/>
              </w:rPr>
            </w:pPr>
          </w:p>
        </w:tc>
        <w:tc>
          <w:tcPr>
            <w:tcW w:w="10809" w:type="dxa"/>
            <w:vAlign w:val="center"/>
          </w:tcPr>
          <w:p>
            <w:pPr>
              <w:spacing w:line="360" w:lineRule="auto"/>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对相关方施加影响管理规定、节能降耗管理规定、消防安全管理制度、办公室安全管理制度、</w:t>
            </w:r>
            <w:r>
              <w:rPr>
                <w:rFonts w:hint="eastAsia"/>
                <w:lang w:val="en-GB"/>
              </w:rPr>
              <w:t>车辆管理规定、电脑使用管理办法、服务人员工作规范</w:t>
            </w:r>
            <w:r>
              <w:rPr>
                <w:rFonts w:hint="eastAsia"/>
              </w:rPr>
              <w:t>等</w:t>
            </w:r>
          </w:p>
          <w:p>
            <w:pPr>
              <w:spacing w:line="360" w:lineRule="auto"/>
            </w:pPr>
            <w:r>
              <w:rPr>
                <w:rFonts w:hint="eastAsia"/>
              </w:rPr>
              <w:t>运行控制情况：</w:t>
            </w:r>
          </w:p>
          <w:p>
            <w:pPr>
              <w:numPr>
                <w:ilvl w:val="0"/>
                <w:numId w:val="2"/>
              </w:numPr>
              <w:spacing w:line="360" w:lineRule="auto"/>
            </w:pPr>
            <w:r>
              <w:rPr>
                <w:rFonts w:hint="eastAsia"/>
              </w:rPr>
              <w:t>办公室区域：污水：不涉及污水，没有污水排放。</w:t>
            </w:r>
          </w:p>
          <w:p>
            <w:pPr>
              <w:numPr>
                <w:ilvl w:val="0"/>
                <w:numId w:val="2"/>
              </w:numPr>
              <w:spacing w:line="360" w:lineRule="auto"/>
            </w:pPr>
            <w:r>
              <w:rPr>
                <w:rFonts w:hint="eastAsia"/>
              </w:rPr>
              <w:t>噪声：办公现场不产生明显噪声。</w:t>
            </w:r>
          </w:p>
          <w:p>
            <w:pPr>
              <w:numPr>
                <w:ilvl w:val="0"/>
                <w:numId w:val="2"/>
              </w:numPr>
              <w:spacing w:line="360" w:lineRule="auto"/>
            </w:pPr>
            <w:r>
              <w:rPr>
                <w:rFonts w:hint="eastAsia"/>
              </w:rPr>
              <w:t>固废：固体废物主要是办公产生废纸张等，配置了纸篓；办公用纸由办公室负责，复印、打印耗材都有办公室统一负责，集中处置。</w:t>
            </w:r>
          </w:p>
          <w:p>
            <w:pPr>
              <w:numPr>
                <w:ilvl w:val="0"/>
                <w:numId w:val="2"/>
              </w:numPr>
              <w:spacing w:line="360" w:lineRule="auto"/>
            </w:pPr>
            <w:r>
              <w:rPr>
                <w:rFonts w:hint="eastAsia"/>
              </w:rPr>
              <w:t>办公过程注意节约用电，做到人走灯灭，电脑长时间不用时关机，下班前要关闭电源，防止触电。</w:t>
            </w:r>
          </w:p>
          <w:p>
            <w:pPr>
              <w:numPr>
                <w:ilvl w:val="0"/>
                <w:numId w:val="2"/>
              </w:numPr>
              <w:spacing w:line="360" w:lineRule="auto"/>
            </w:pPr>
            <w:r>
              <w:rPr>
                <w:rFonts w:hint="eastAsia"/>
              </w:rPr>
              <w:t>办公区域:，现场查看办公区域环境整洁、宽敞、办公设备状态良好、</w:t>
            </w:r>
          </w:p>
          <w:p>
            <w:pPr>
              <w:numPr>
                <w:ilvl w:val="0"/>
                <w:numId w:val="2"/>
              </w:numPr>
              <w:spacing w:line="360" w:lineRule="auto"/>
            </w:pPr>
            <w:r>
              <w:rPr>
                <w:rFonts w:hint="eastAsia"/>
              </w:rPr>
              <w:t>工作时间平均每天不超过8小时。</w:t>
            </w:r>
          </w:p>
          <w:p>
            <w:pPr>
              <w:numPr>
                <w:ilvl w:val="0"/>
                <w:numId w:val="2"/>
              </w:numPr>
              <w:spacing w:line="360" w:lineRule="auto"/>
            </w:pPr>
            <w:r>
              <w:rPr>
                <w:rFonts w:hint="eastAsia"/>
              </w:rPr>
              <w:t>现场查看办公区域配备符合要求的消防设施。</w:t>
            </w:r>
          </w:p>
          <w:p>
            <w:pPr>
              <w:numPr>
                <w:ilvl w:val="0"/>
                <w:numId w:val="2"/>
              </w:numPr>
              <w:spacing w:line="360" w:lineRule="auto"/>
            </w:pPr>
            <w:r>
              <w:rPr>
                <w:rFonts w:hint="eastAsia"/>
              </w:rPr>
              <w:t>现场查看办公区域，整洁、光线充足、室内空气良好、配置有空调，办公条件较好，办公设备安全状态良好，教育员工正确使用办公设备，现场用电基本规范，无乱拉线现象，防止火灾发生。</w:t>
            </w:r>
          </w:p>
          <w:p>
            <w:pPr>
              <w:spacing w:line="360" w:lineRule="auto"/>
            </w:pPr>
            <w:r>
              <w:t>9</w:t>
            </w:r>
            <w:r>
              <w:rPr>
                <w:rFonts w:hint="eastAsia"/>
              </w:rPr>
              <w:t>、相关方施加影响：公司能够控制或能够施加影响的相关方有顾客等。提供了“致相关方的公开信”，将公司的环境/安全控制要求发放到了所有相关方:运输公司\供应商\外来员工等</w:t>
            </w:r>
          </w:p>
          <w:p>
            <w:pPr>
              <w:spacing w:line="360" w:lineRule="auto"/>
            </w:pPr>
            <w:r>
              <w:t>10</w:t>
            </w:r>
            <w:r>
              <w:rPr>
                <w:rFonts w:hint="eastAsia"/>
              </w:rPr>
              <w:t>、驾驶员要求遵守道路交通安全法规，不违章驾车，驾驶证和车辆定期年审，确保行车安全。</w:t>
            </w:r>
          </w:p>
          <w:p>
            <w:pPr>
              <w:pStyle w:val="11"/>
              <w:spacing w:line="360" w:lineRule="auto"/>
              <w:rPr>
                <w:szCs w:val="21"/>
              </w:rPr>
            </w:pPr>
          </w:p>
          <w:p>
            <w:pPr>
              <w:pStyle w:val="11"/>
              <w:spacing w:line="360" w:lineRule="auto"/>
              <w:rPr>
                <w:szCs w:val="21"/>
              </w:rPr>
            </w:pPr>
            <w:r>
              <w:rPr>
                <w:rFonts w:hint="eastAsia"/>
                <w:szCs w:val="21"/>
              </w:rPr>
              <w:t>提供员工保险缴费证明、</w:t>
            </w:r>
          </w:p>
          <w:p>
            <w:pPr>
              <w:pStyle w:val="11"/>
              <w:spacing w:line="360" w:lineRule="auto"/>
              <w:rPr>
                <w:szCs w:val="21"/>
              </w:rPr>
            </w:pPr>
            <w:r>
              <w:rPr>
                <w:rFonts w:hint="eastAsia"/>
                <w:szCs w:val="21"/>
              </w:rPr>
              <w:t>财务提供安全环保资金3000元、人员培训1000元、劳保用品1000元等费用投入情况.</w:t>
            </w:r>
          </w:p>
          <w:p>
            <w:pPr>
              <w:pStyle w:val="11"/>
              <w:spacing w:line="360" w:lineRule="auto"/>
              <w:rPr>
                <w:szCs w:val="21"/>
              </w:rPr>
            </w:pP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spacing w:line="360" w:lineRule="auto"/>
              <w:rPr>
                <w:szCs w:val="21"/>
              </w:rPr>
            </w:pPr>
            <w:r>
              <w:rPr>
                <w:rFonts w:hint="eastAsia"/>
                <w:szCs w:val="21"/>
              </w:rPr>
              <w:t>应急准备和响应</w:t>
            </w:r>
          </w:p>
        </w:tc>
        <w:tc>
          <w:tcPr>
            <w:tcW w:w="1164" w:type="dxa"/>
            <w:vAlign w:val="center"/>
          </w:tcPr>
          <w:p>
            <w:pPr>
              <w:spacing w:line="360" w:lineRule="auto"/>
              <w:rPr>
                <w:szCs w:val="21"/>
              </w:rPr>
            </w:pPr>
            <w:r>
              <w:rPr>
                <w:rFonts w:hint="eastAsia"/>
                <w:szCs w:val="21"/>
              </w:rPr>
              <w:t>E8.2</w:t>
            </w:r>
          </w:p>
          <w:p>
            <w:pPr>
              <w:spacing w:line="360" w:lineRule="auto"/>
              <w:rPr>
                <w:sz w:val="24"/>
                <w:szCs w:val="24"/>
              </w:rPr>
            </w:pPr>
          </w:p>
        </w:tc>
        <w:tc>
          <w:tcPr>
            <w:tcW w:w="10809" w:type="dxa"/>
            <w:vAlign w:val="center"/>
          </w:tcPr>
          <w:p>
            <w:pPr>
              <w:spacing w:line="360" w:lineRule="auto"/>
            </w:pPr>
            <w:r>
              <w:rPr>
                <w:rFonts w:hint="eastAsia"/>
              </w:rPr>
              <w:t>公司制定《应急准备与响应控制程序》，预防或减少潜在安全事故或紧急情况造成的影响，对可能发生的各种重要环境危险源的紧急情况做出积极准备和响应，以减少事故造成的影响。</w:t>
            </w:r>
          </w:p>
          <w:p>
            <w:pPr>
              <w:spacing w:line="360" w:lineRule="auto"/>
            </w:pPr>
            <w:r>
              <w:rPr>
                <w:rFonts w:hint="eastAsia"/>
              </w:rPr>
              <w:t>提供了《火灾应急预案》，包括发生火灾等紧急情况的处置和应急抢救方案等内容。</w:t>
            </w:r>
          </w:p>
          <w:p>
            <w:pPr>
              <w:spacing w:line="360" w:lineRule="auto"/>
            </w:pPr>
            <w:r>
              <w:rPr>
                <w:rFonts w:hint="eastAsia"/>
              </w:rPr>
              <w:t>出示了“应急预案演练记录”</w:t>
            </w:r>
          </w:p>
          <w:p>
            <w:pPr>
              <w:spacing w:line="360" w:lineRule="auto"/>
            </w:pPr>
            <w:r>
              <w:rPr>
                <w:rFonts w:hint="eastAsia"/>
              </w:rPr>
              <w:t>组织部门：综合部演练主持人：杜汉清，参加演练人员名单：刘猛、许静、杜纯、任丽等公司全体人员。</w:t>
            </w:r>
          </w:p>
          <w:p>
            <w:pPr>
              <w:spacing w:line="360" w:lineRule="auto"/>
            </w:pPr>
            <w:r>
              <w:rPr>
                <w:rFonts w:hint="eastAsia"/>
              </w:rPr>
              <w:t>1.演练目的：演练目的、内容：</w:t>
            </w:r>
          </w:p>
          <w:p>
            <w:pPr>
              <w:spacing w:line="360" w:lineRule="auto"/>
            </w:pPr>
            <w:r>
              <w:t>为了使</w:t>
            </w:r>
            <w:r>
              <w:rPr>
                <w:rFonts w:hint="eastAsia"/>
              </w:rPr>
              <w:t>员工</w:t>
            </w:r>
            <w:r>
              <w:t>了解火灾发生时的应急自救知识，掌握应对火灾发生时采取的防护措施和方法，最大限度地降低火灾</w:t>
            </w:r>
            <w:r>
              <w:rPr>
                <w:rFonts w:hint="eastAsia"/>
              </w:rPr>
              <w:t>爆炸</w:t>
            </w:r>
            <w:r>
              <w:t>带来的损失，从而提高</w:t>
            </w:r>
            <w:r>
              <w:rPr>
                <w:rFonts w:hint="eastAsia"/>
              </w:rPr>
              <w:t>员工</w:t>
            </w:r>
            <w:r>
              <w:t>紧急避险、自救自护和应变的能力。</w:t>
            </w:r>
          </w:p>
          <w:p>
            <w:pPr>
              <w:spacing w:line="360" w:lineRule="auto"/>
            </w:pPr>
            <w:r>
              <w:rPr>
                <w:rFonts w:hint="eastAsia"/>
              </w:rPr>
              <w:t>2.演练小结：参加人员基本了解，掌握了灭火器的使用方法和现场撤离路线，掌握火灾时的逃生方法。</w:t>
            </w:r>
          </w:p>
          <w:p>
            <w:pPr>
              <w:spacing w:line="360" w:lineRule="auto"/>
            </w:pPr>
            <w:r>
              <w:rPr>
                <w:rFonts w:hint="eastAsia"/>
              </w:rPr>
              <w:t>3.存在的问题及整改措施：义务消防员应经常检查火灾隐患，发现问题及时整改，今后应定期进行火灾应急演练。争取得到周边单位的配合和参与。以提高公司员工的消防安全意识。</w:t>
            </w:r>
          </w:p>
          <w:p>
            <w:pPr>
              <w:spacing w:line="360" w:lineRule="auto"/>
            </w:pPr>
            <w:r>
              <w:rPr>
                <w:rFonts w:hint="eastAsia"/>
              </w:rPr>
              <w:t>填写部门：综合部填写日期：</w:t>
            </w:r>
            <w:r>
              <w:rPr>
                <w:rFonts w:hint="eastAsia"/>
                <w:lang w:eastAsia="zh-CN"/>
              </w:rPr>
              <w:t>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pPr>
              <w:spacing w:line="360" w:lineRule="auto"/>
            </w:pPr>
            <w:r>
              <w:rPr>
                <w:rFonts w:hint="eastAsia"/>
              </w:rPr>
              <w:t>提供了“应急预案评审记录”，演练后对</w:t>
            </w:r>
            <w:r>
              <w:t>预案适宜性充分性</w:t>
            </w:r>
            <w:r>
              <w:rPr>
                <w:rFonts w:hint="eastAsia"/>
              </w:rPr>
              <w:t>进行了</w:t>
            </w:r>
            <w:r>
              <w:t>评审</w:t>
            </w:r>
            <w:r>
              <w:rPr>
                <w:rFonts w:hint="eastAsia"/>
              </w:rPr>
              <w:t>，结论：预案适用无需修订。</w:t>
            </w:r>
          </w:p>
          <w:p>
            <w:pPr>
              <w:spacing w:line="360" w:lineRule="auto"/>
              <w:ind w:firstLine="420" w:firstLineChars="200"/>
              <w:rPr>
                <w:szCs w:val="21"/>
              </w:rPr>
            </w:pPr>
            <w:r>
              <w:rPr>
                <w:rFonts w:hint="eastAsia" w:ascii="宋体" w:hAnsi="宋体" w:cs="宋体"/>
                <w:szCs w:val="21"/>
                <w:lang w:val="en-GB"/>
              </w:rPr>
              <w:t xml:space="preserve">应急演练后对应急预案进行了评审，应急预案不重要修订。 </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tcPr>
          <w:p>
            <w:pPr>
              <w:spacing w:line="360" w:lineRule="auto"/>
              <w:rPr>
                <w:szCs w:val="21"/>
              </w:rPr>
            </w:pPr>
            <w:r>
              <w:rPr>
                <w:rFonts w:hint="eastAsia" w:ascii="宋体" w:hAnsi="宋体" w:cs="宋体"/>
                <w:szCs w:val="21"/>
              </w:rPr>
              <w:t>监视、测量、分析、评价</w:t>
            </w:r>
          </w:p>
        </w:tc>
        <w:tc>
          <w:tcPr>
            <w:tcW w:w="1164" w:type="dxa"/>
          </w:tcPr>
          <w:p>
            <w:pPr>
              <w:spacing w:line="360" w:lineRule="auto"/>
              <w:rPr>
                <w:rFonts w:ascii="宋体" w:hAnsi="宋体" w:cs="宋体"/>
                <w:szCs w:val="21"/>
              </w:rPr>
            </w:pPr>
            <w:r>
              <w:rPr>
                <w:rFonts w:hint="eastAsia" w:ascii="宋体" w:hAnsi="宋体" w:cs="宋体"/>
                <w:szCs w:val="21"/>
              </w:rPr>
              <w:t>E9.1.1</w:t>
            </w:r>
          </w:p>
          <w:p>
            <w:pPr>
              <w:spacing w:line="360" w:lineRule="auto"/>
              <w:rPr>
                <w:sz w:val="24"/>
                <w:szCs w:val="24"/>
              </w:rPr>
            </w:pPr>
          </w:p>
        </w:tc>
        <w:tc>
          <w:tcPr>
            <w:tcW w:w="10809" w:type="dxa"/>
            <w:vAlign w:val="center"/>
          </w:tcPr>
          <w:p>
            <w:pPr>
              <w:snapToGrid w:val="0"/>
              <w:spacing w:line="360" w:lineRule="auto"/>
              <w:ind w:firstLine="420" w:firstLineChars="200"/>
              <w:jc w:val="left"/>
              <w:rPr>
                <w:rFonts w:ascii="宋体" w:hAnsi="宋体" w:cs="宋体"/>
                <w:szCs w:val="21"/>
              </w:rPr>
            </w:pPr>
            <w:r>
              <w:rPr>
                <w:rFonts w:hint="eastAsia" w:ascii="宋体" w:hAnsi="宋体" w:cs="宋体"/>
                <w:szCs w:val="21"/>
              </w:rPr>
              <w:t>提供检查记录，检查项目内容涉及废弃物处理、噪声污染、固废处理（垃圾是否分开堆放收集、如何处理）、消防设施（消防设施是否完好、是否进行过火灾应急演练）、电气设备（检查本公司电气系统的使用情况，有无电线绝缘层破裂情况发生，有无漏电情况发生）、能源使用情况（在办公过程中有无做到人走灯灭等节约用电的基本原则）。</w:t>
            </w:r>
          </w:p>
          <w:p>
            <w:pPr>
              <w:snapToGrid w:val="0"/>
              <w:spacing w:line="360" w:lineRule="auto"/>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8.20检查记录，检查结果未发现较大及以上问题，小问题已要求当场纠正，下次注意。检查人：陈谦管理体系目标考核按季度进行，查到今年目标考核记录，管理部负责考核，公司和分解各部门管理目标均已完成。</w:t>
            </w:r>
          </w:p>
          <w:p>
            <w:pPr>
              <w:snapToGrid w:val="0"/>
              <w:spacing w:line="360" w:lineRule="auto"/>
              <w:ind w:firstLine="420" w:firstLineChars="200"/>
              <w:jc w:val="left"/>
              <w:rPr>
                <w:rFonts w:ascii="宋体" w:hAnsi="宋体" w:cs="宋体"/>
                <w:szCs w:val="21"/>
              </w:rPr>
            </w:pPr>
            <w:r>
              <w:rPr>
                <w:rFonts w:hint="eastAsia" w:ascii="宋体" w:hAnsi="宋体" w:cs="宋体"/>
                <w:szCs w:val="21"/>
              </w:rPr>
              <w:t>未有上级主管部门的监督检查。</w:t>
            </w:r>
          </w:p>
          <w:p>
            <w:pPr>
              <w:snapToGrid w:val="0"/>
              <w:spacing w:line="360" w:lineRule="auto"/>
              <w:ind w:firstLine="420" w:firstLineChars="200"/>
              <w:jc w:val="left"/>
              <w:rPr>
                <w:szCs w:val="21"/>
              </w:rPr>
            </w:pPr>
            <w:r>
              <w:rPr>
                <w:rFonts w:hint="eastAsia" w:ascii="宋体" w:hAnsi="宋体" w:cs="宋体"/>
                <w:szCs w:val="21"/>
              </w:rPr>
              <w:t>公司经营能遵守相关的法律法规，没有违反质量、环境、职业健康安全法律法规现象，近期没有发生环境与安全的事故和违法情况。</w:t>
            </w:r>
          </w:p>
        </w:tc>
        <w:tc>
          <w:tcPr>
            <w:tcW w:w="780"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tcPr>
          <w:p>
            <w:pPr>
              <w:spacing w:line="360" w:lineRule="auto"/>
              <w:rPr>
                <w:szCs w:val="21"/>
              </w:rPr>
            </w:pPr>
            <w:r>
              <w:rPr>
                <w:rFonts w:hint="eastAsia" w:ascii="宋体" w:hAnsi="宋体" w:cs="宋体"/>
                <w:szCs w:val="21"/>
              </w:rPr>
              <w:t>合规性评价</w:t>
            </w:r>
          </w:p>
        </w:tc>
        <w:tc>
          <w:tcPr>
            <w:tcW w:w="1164" w:type="dxa"/>
          </w:tcPr>
          <w:p>
            <w:pPr>
              <w:spacing w:line="360" w:lineRule="auto"/>
              <w:rPr>
                <w:rFonts w:ascii="宋体" w:hAnsi="宋体" w:cs="宋体"/>
                <w:szCs w:val="21"/>
              </w:rPr>
            </w:pPr>
            <w:r>
              <w:rPr>
                <w:rFonts w:hint="eastAsia" w:ascii="宋体" w:hAnsi="宋体" w:cs="宋体"/>
                <w:szCs w:val="21"/>
              </w:rPr>
              <w:t>E9.1.2</w:t>
            </w:r>
          </w:p>
          <w:p>
            <w:pPr>
              <w:spacing w:line="360" w:lineRule="auto"/>
              <w:rPr>
                <w:sz w:val="24"/>
                <w:szCs w:val="24"/>
              </w:rPr>
            </w:pPr>
          </w:p>
        </w:tc>
        <w:tc>
          <w:tcPr>
            <w:tcW w:w="10809" w:type="dxa"/>
            <w:vAlign w:val="center"/>
          </w:tcPr>
          <w:p>
            <w:pPr>
              <w:snapToGrid w:val="0"/>
              <w:spacing w:line="360" w:lineRule="auto"/>
              <w:ind w:firstLine="420" w:firstLineChars="200"/>
              <w:jc w:val="left"/>
              <w:rPr>
                <w:szCs w:val="21"/>
              </w:rPr>
            </w:pPr>
            <w:r>
              <w:rPr>
                <w:rFonts w:hint="eastAsia" w:ascii="宋体" w:hAnsi="宋体" w:cs="宋体"/>
                <w:szCs w:val="21"/>
              </w:rPr>
              <w:t>公司法律法规和其他要求评价的主管部门、周期、检查等进行了规定。合规性评价由本部门组织进行，每年至少1次，</w:t>
            </w:r>
            <w:r>
              <w:rPr>
                <w:rFonts w:hint="eastAsia" w:ascii="宋体" w:hAnsi="宋体" w:cs="宋体"/>
                <w:color w:val="000000"/>
                <w:szCs w:val="21"/>
              </w:rPr>
              <w:t>今年于</w:t>
            </w:r>
            <w:r>
              <w:rPr>
                <w:rFonts w:hint="eastAsia" w:ascii="宋体" w:hAnsi="宋体" w:cs="宋体"/>
                <w:color w:val="000000"/>
                <w:szCs w:val="21"/>
                <w:lang w:eastAsia="zh-CN"/>
              </w:rPr>
              <w:t>202</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由</w:t>
            </w:r>
            <w:r>
              <w:rPr>
                <w:rFonts w:hint="eastAsia" w:ascii="宋体" w:hAnsi="宋体" w:cs="宋体"/>
                <w:szCs w:val="21"/>
              </w:rPr>
              <w:t>管代组织相关人员对版本的有效性，适用的内容、涉及公司管理体系的活动、遵守执行情况等都进行了综合评价，总经理燕文成审批，提供了合规性评价记录，从中华人民共和国环境保护法、中华人民共和国环境影响评价法、中华人民共和国水污染防治法、、中华人民共和国环境噪声污染防治法、中华人民共和国节约能源法、中华人民共和国消防条例实施细则、污水综合排放标准、大气污染物综合排放标准、中华人民共和国劳动合同法、等法律法规的适用条款和内容进行了评价，各法律法规均有效，并符合/满足要求。</w:t>
            </w:r>
          </w:p>
        </w:tc>
        <w:tc>
          <w:tcPr>
            <w:tcW w:w="780" w:type="dxa"/>
          </w:tcPr>
          <w:p>
            <w:pPr>
              <w:spacing w:line="360" w:lineRule="auto"/>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B067D"/>
    <w:multiLevelType w:val="singleLevel"/>
    <w:tmpl w:val="865B067D"/>
    <w:lvl w:ilvl="0" w:tentative="0">
      <w:start w:val="1"/>
      <w:numFmt w:val="decimal"/>
      <w:lvlText w:val="%1)"/>
      <w:lvlJc w:val="left"/>
      <w:pPr>
        <w:tabs>
          <w:tab w:val="left" w:pos="312"/>
        </w:tabs>
      </w:pPr>
    </w:lvl>
  </w:abstractNum>
  <w:abstractNum w:abstractNumId="1">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29016A"/>
    <w:rsid w:val="00337922"/>
    <w:rsid w:val="0034010C"/>
    <w:rsid w:val="00340867"/>
    <w:rsid w:val="00380837"/>
    <w:rsid w:val="003A198A"/>
    <w:rsid w:val="003E1C36"/>
    <w:rsid w:val="00410914"/>
    <w:rsid w:val="00453BA5"/>
    <w:rsid w:val="00536930"/>
    <w:rsid w:val="00550D54"/>
    <w:rsid w:val="00564E53"/>
    <w:rsid w:val="00644FE2"/>
    <w:rsid w:val="0067640C"/>
    <w:rsid w:val="006915E5"/>
    <w:rsid w:val="006E678B"/>
    <w:rsid w:val="007449BC"/>
    <w:rsid w:val="00774C81"/>
    <w:rsid w:val="007757F3"/>
    <w:rsid w:val="007E6AEB"/>
    <w:rsid w:val="008973EE"/>
    <w:rsid w:val="00971600"/>
    <w:rsid w:val="009973B4"/>
    <w:rsid w:val="009C28C1"/>
    <w:rsid w:val="009F7EED"/>
    <w:rsid w:val="00AF0AAB"/>
    <w:rsid w:val="00BF597E"/>
    <w:rsid w:val="00C51A36"/>
    <w:rsid w:val="00C53DF9"/>
    <w:rsid w:val="00C55228"/>
    <w:rsid w:val="00C96CCE"/>
    <w:rsid w:val="00CC3DA0"/>
    <w:rsid w:val="00CE315A"/>
    <w:rsid w:val="00D06F59"/>
    <w:rsid w:val="00D8388C"/>
    <w:rsid w:val="00EB0164"/>
    <w:rsid w:val="00ED0F62"/>
    <w:rsid w:val="01237055"/>
    <w:rsid w:val="02602D37"/>
    <w:rsid w:val="02EC0344"/>
    <w:rsid w:val="031C06B3"/>
    <w:rsid w:val="036A70FE"/>
    <w:rsid w:val="043A2F29"/>
    <w:rsid w:val="06B657DF"/>
    <w:rsid w:val="06D549D6"/>
    <w:rsid w:val="06EA2337"/>
    <w:rsid w:val="06FF764D"/>
    <w:rsid w:val="07074179"/>
    <w:rsid w:val="072106AC"/>
    <w:rsid w:val="07F82E75"/>
    <w:rsid w:val="08037204"/>
    <w:rsid w:val="08713D93"/>
    <w:rsid w:val="088E4159"/>
    <w:rsid w:val="090D6A35"/>
    <w:rsid w:val="094249D9"/>
    <w:rsid w:val="0A4E083A"/>
    <w:rsid w:val="0A527FAF"/>
    <w:rsid w:val="0A8A1863"/>
    <w:rsid w:val="0A991BFD"/>
    <w:rsid w:val="0ACC5B2B"/>
    <w:rsid w:val="0B522200"/>
    <w:rsid w:val="0B53515A"/>
    <w:rsid w:val="0C0A0CD1"/>
    <w:rsid w:val="0C510E0A"/>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0D664E2"/>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B23614"/>
    <w:rsid w:val="15D30DE7"/>
    <w:rsid w:val="16440ED9"/>
    <w:rsid w:val="16543128"/>
    <w:rsid w:val="16F7510A"/>
    <w:rsid w:val="17924A21"/>
    <w:rsid w:val="17A67230"/>
    <w:rsid w:val="17BE048E"/>
    <w:rsid w:val="197C75B5"/>
    <w:rsid w:val="1A4925EB"/>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21C084C"/>
    <w:rsid w:val="227257C1"/>
    <w:rsid w:val="22D7582D"/>
    <w:rsid w:val="23235F87"/>
    <w:rsid w:val="23732F32"/>
    <w:rsid w:val="24BD65A1"/>
    <w:rsid w:val="255D6D75"/>
    <w:rsid w:val="25C71E86"/>
    <w:rsid w:val="25D826BB"/>
    <w:rsid w:val="261D2BC4"/>
    <w:rsid w:val="26BB47F8"/>
    <w:rsid w:val="26F45C8F"/>
    <w:rsid w:val="27571BB0"/>
    <w:rsid w:val="275D5156"/>
    <w:rsid w:val="282355F9"/>
    <w:rsid w:val="28DF2BCF"/>
    <w:rsid w:val="291202D2"/>
    <w:rsid w:val="299C23FC"/>
    <w:rsid w:val="29AA0642"/>
    <w:rsid w:val="29AF13DF"/>
    <w:rsid w:val="2B3D669F"/>
    <w:rsid w:val="2BCC5F89"/>
    <w:rsid w:val="2C04664A"/>
    <w:rsid w:val="2C917839"/>
    <w:rsid w:val="2CD45FEF"/>
    <w:rsid w:val="2D297257"/>
    <w:rsid w:val="2D8E612A"/>
    <w:rsid w:val="2DCF4236"/>
    <w:rsid w:val="2DF31F93"/>
    <w:rsid w:val="2E057899"/>
    <w:rsid w:val="2E620A04"/>
    <w:rsid w:val="2E9176CC"/>
    <w:rsid w:val="2EA7415A"/>
    <w:rsid w:val="2ED7287D"/>
    <w:rsid w:val="2F5D67DC"/>
    <w:rsid w:val="2F7A01DB"/>
    <w:rsid w:val="308A2E7E"/>
    <w:rsid w:val="310367F7"/>
    <w:rsid w:val="310F2B74"/>
    <w:rsid w:val="31BB2B41"/>
    <w:rsid w:val="31CD2D76"/>
    <w:rsid w:val="327711BB"/>
    <w:rsid w:val="32860EED"/>
    <w:rsid w:val="32A818D5"/>
    <w:rsid w:val="330F505D"/>
    <w:rsid w:val="3328502A"/>
    <w:rsid w:val="33997DE2"/>
    <w:rsid w:val="3494193A"/>
    <w:rsid w:val="352019F8"/>
    <w:rsid w:val="35AE2D88"/>
    <w:rsid w:val="35C13BFD"/>
    <w:rsid w:val="35C26EE4"/>
    <w:rsid w:val="38103FE1"/>
    <w:rsid w:val="3814590E"/>
    <w:rsid w:val="38C248EF"/>
    <w:rsid w:val="39A04658"/>
    <w:rsid w:val="3B59769B"/>
    <w:rsid w:val="3B5F54C4"/>
    <w:rsid w:val="3B8A7AED"/>
    <w:rsid w:val="3BF3205C"/>
    <w:rsid w:val="3C871C4F"/>
    <w:rsid w:val="3C9A2BF5"/>
    <w:rsid w:val="3D92395A"/>
    <w:rsid w:val="3D9A6CF0"/>
    <w:rsid w:val="3DB92AC4"/>
    <w:rsid w:val="3EC07009"/>
    <w:rsid w:val="3F1C24D3"/>
    <w:rsid w:val="3F1F20F4"/>
    <w:rsid w:val="3FFD17CC"/>
    <w:rsid w:val="40425DD8"/>
    <w:rsid w:val="40882793"/>
    <w:rsid w:val="416877C4"/>
    <w:rsid w:val="41846EFA"/>
    <w:rsid w:val="41C50928"/>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395F8B"/>
    <w:rsid w:val="48752520"/>
    <w:rsid w:val="48D92A98"/>
    <w:rsid w:val="493A73ED"/>
    <w:rsid w:val="4A02594A"/>
    <w:rsid w:val="4A174CB7"/>
    <w:rsid w:val="4B511DE2"/>
    <w:rsid w:val="4C017549"/>
    <w:rsid w:val="4CFF3B84"/>
    <w:rsid w:val="4EA8785F"/>
    <w:rsid w:val="4F9420A0"/>
    <w:rsid w:val="4FA333A8"/>
    <w:rsid w:val="4FC219C0"/>
    <w:rsid w:val="50A05722"/>
    <w:rsid w:val="50FA26C7"/>
    <w:rsid w:val="52671F92"/>
    <w:rsid w:val="52BF26AB"/>
    <w:rsid w:val="53444639"/>
    <w:rsid w:val="546315FC"/>
    <w:rsid w:val="55204D35"/>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C083D41"/>
    <w:rsid w:val="5D036FFF"/>
    <w:rsid w:val="5E243229"/>
    <w:rsid w:val="5E2D3CAF"/>
    <w:rsid w:val="5E7D51D5"/>
    <w:rsid w:val="5E9A53DF"/>
    <w:rsid w:val="5EA12B9A"/>
    <w:rsid w:val="5EB9199F"/>
    <w:rsid w:val="5EBF0B8F"/>
    <w:rsid w:val="5F6B5B9C"/>
    <w:rsid w:val="5FC26D77"/>
    <w:rsid w:val="601217D3"/>
    <w:rsid w:val="60C97544"/>
    <w:rsid w:val="60EE71AC"/>
    <w:rsid w:val="61F25C0D"/>
    <w:rsid w:val="61FE677C"/>
    <w:rsid w:val="628F5DE4"/>
    <w:rsid w:val="63244403"/>
    <w:rsid w:val="63272C6B"/>
    <w:rsid w:val="634C0405"/>
    <w:rsid w:val="634D35C3"/>
    <w:rsid w:val="63577018"/>
    <w:rsid w:val="63A076AF"/>
    <w:rsid w:val="63B15496"/>
    <w:rsid w:val="63BC1E27"/>
    <w:rsid w:val="64450F89"/>
    <w:rsid w:val="64816A20"/>
    <w:rsid w:val="64C23928"/>
    <w:rsid w:val="64F978EF"/>
    <w:rsid w:val="652C57B3"/>
    <w:rsid w:val="65967FA2"/>
    <w:rsid w:val="65D63B50"/>
    <w:rsid w:val="6626385E"/>
    <w:rsid w:val="6728002A"/>
    <w:rsid w:val="67706016"/>
    <w:rsid w:val="688E3B0D"/>
    <w:rsid w:val="689F5105"/>
    <w:rsid w:val="693B0827"/>
    <w:rsid w:val="69416448"/>
    <w:rsid w:val="6A2D6512"/>
    <w:rsid w:val="6ABD5712"/>
    <w:rsid w:val="6AC66944"/>
    <w:rsid w:val="6BD211F2"/>
    <w:rsid w:val="6C1C5AEE"/>
    <w:rsid w:val="6C8464CC"/>
    <w:rsid w:val="6CE7352A"/>
    <w:rsid w:val="6E5E28AB"/>
    <w:rsid w:val="6E9844C6"/>
    <w:rsid w:val="6ED008C7"/>
    <w:rsid w:val="6ED60D50"/>
    <w:rsid w:val="6F1C0C18"/>
    <w:rsid w:val="6F3944D9"/>
    <w:rsid w:val="6F4E570C"/>
    <w:rsid w:val="6FB02F06"/>
    <w:rsid w:val="6FDF3742"/>
    <w:rsid w:val="70DD4915"/>
    <w:rsid w:val="7140022C"/>
    <w:rsid w:val="71430325"/>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Plain Text"/>
    <w:basedOn w:val="1"/>
    <w:qFormat/>
    <w:uiPriority w:val="0"/>
    <w:rPr>
      <w:rFonts w:ascii="宋体" w:hAnsi="Courier New"/>
    </w:rPr>
  </w:style>
  <w:style w:type="paragraph" w:styleId="5">
    <w:name w:val="Date"/>
    <w:basedOn w:val="1"/>
    <w:next w:val="1"/>
    <w:qFormat/>
    <w:uiPriority w:val="0"/>
    <w:pPr>
      <w:widowControl/>
      <w:ind w:left="100" w:leftChars="2500"/>
      <w:jc w:val="left"/>
    </w:pPr>
    <w:rPr>
      <w:kern w:val="0"/>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1429</Words>
  <Characters>8147</Characters>
  <Lines>67</Lines>
  <Paragraphs>19</Paragraphs>
  <TotalTime>2</TotalTime>
  <ScaleCrop>false</ScaleCrop>
  <LinksUpToDate>false</LinksUpToDate>
  <CharactersWithSpaces>9557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2021-09-18T00:12:40Z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AB0872392DA0477CACC2E9729D9E90B6</vt:lpwstr>
  </property>
</Properties>
</file>