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成都尚大包装有限公司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0585-2019-Q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2019.11.14上午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2019.11.14上午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C61B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2019-11-22T02:30:03Z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