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Cs/>
                <w:sz w:val="24"/>
                <w:szCs w:val="24"/>
              </w:rPr>
              <w:t>管理层</w:t>
            </w:r>
            <w:r>
              <w:rPr>
                <w:rFonts w:hint="eastAsia" w:cs="宋体" w:asciiTheme="minorEastAsia" w:hAnsiTheme="minorEastAsia" w:eastAsiaTheme="minorEastAsia"/>
                <w:sz w:val="24"/>
                <w:szCs w:val="24"/>
              </w:rPr>
              <w:t xml:space="preserve">    主管领导：</w:t>
            </w:r>
            <w:r>
              <w:rPr>
                <w:rFonts w:hint="eastAsia" w:cs="宋体" w:asciiTheme="minorEastAsia" w:hAnsiTheme="minorEastAsia" w:eastAsiaTheme="minorEastAsia"/>
                <w:sz w:val="24"/>
                <w:szCs w:val="24"/>
                <w:lang w:val="en-US" w:eastAsia="zh-CN"/>
              </w:rPr>
              <w:t>赵后荣 崔祥林</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陪同人员：</w:t>
            </w:r>
            <w:bookmarkStart w:id="0" w:name="_GoBack"/>
            <w:r>
              <w:rPr>
                <w:rFonts w:hint="eastAsia" w:cs="宋体" w:asciiTheme="minorEastAsia" w:hAnsiTheme="minorEastAsia" w:eastAsiaTheme="minorEastAsia"/>
                <w:sz w:val="24"/>
                <w:szCs w:val="24"/>
                <w:lang w:val="en-US" w:eastAsia="zh-CN"/>
              </w:rPr>
              <w:t>刘训萍</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 </w:t>
            </w:r>
            <w:bookmarkEnd w:id="0"/>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审核员：</w:t>
            </w:r>
            <w:r>
              <w:rPr>
                <w:rFonts w:hint="eastAsia" w:ascii="宋体" w:hAnsi="宋体" w:cs="Arial"/>
                <w:spacing w:val="-6"/>
                <w:szCs w:val="21"/>
                <w:lang w:val="en-US" w:eastAsia="zh-CN"/>
              </w:rPr>
              <w:t>强兴</w:t>
            </w:r>
            <w:r>
              <w:rPr>
                <w:rFonts w:hint="eastAsia" w:ascii="宋体" w:hAnsi="宋体" w:cs="Arial"/>
                <w:spacing w:val="-6"/>
                <w:szCs w:val="21"/>
              </w:rPr>
              <w:t xml:space="preserve"> </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en-US" w:eastAsia="zh-CN"/>
              </w:rPr>
              <w:t>张磊</w:t>
            </w:r>
            <w:r>
              <w:rPr>
                <w:rFonts w:hint="eastAsia" w:cs="宋体" w:asciiTheme="minorEastAsia" w:hAnsiTheme="minorEastAsia" w:eastAsiaTheme="minorEastAsia"/>
                <w:sz w:val="24"/>
                <w:szCs w:val="24"/>
              </w:rPr>
              <w:t xml:space="preserve">             审核时间：2021.</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8</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adjustRightInd w:val="0"/>
              <w:snapToGrid w:val="0"/>
              <w:ind w:right="105" w:rightChars="50"/>
              <w:jc w:val="left"/>
              <w:textAlignment w:val="baseline"/>
              <w:rPr>
                <w:rFonts w:cs="宋体" w:asciiTheme="minorEastAsia" w:hAnsiTheme="minorEastAsia" w:eastAsiaTheme="minorEastAsia"/>
                <w:sz w:val="24"/>
                <w:szCs w:val="24"/>
              </w:rPr>
            </w:pPr>
            <w:r>
              <w:rPr>
                <w:rFonts w:hint="eastAsia" w:asciiTheme="minorEastAsia" w:hAnsiTheme="minorEastAsia" w:eastAsiaTheme="minorEastAsia"/>
                <w:color w:val="000000"/>
                <w:szCs w:val="21"/>
              </w:rPr>
              <w:t>涉及标准条款：</w:t>
            </w:r>
            <w:r>
              <w:rPr>
                <w:rFonts w:hint="eastAsia" w:ascii="宋体" w:hAnsi="宋体" w:cs="Arial" w:eastAsiaTheme="minorEastAsia"/>
                <w:spacing w:val="-6"/>
                <w:szCs w:val="21"/>
                <w:lang w:eastAsia="zh-CN"/>
              </w:rPr>
              <w:t>E</w:t>
            </w:r>
            <w:r>
              <w:rPr>
                <w:rFonts w:hint="eastAsia" w:ascii="宋体" w:hAnsi="宋体" w:cs="Arial"/>
                <w:spacing w:val="-6"/>
                <w:szCs w:val="21"/>
              </w:rPr>
              <w:t>:4.1理解组织及其环境、4.2理解相关方的需求和期望、4.3 确定管理体系的范围、4.4</w:t>
            </w:r>
            <w:r>
              <w:rPr>
                <w:rFonts w:hint="eastAsia" w:ascii="宋体" w:hAnsi="宋体" w:cs="Arial"/>
                <w:spacing w:val="-6"/>
                <w:szCs w:val="21"/>
                <w:lang w:eastAsia="zh-CN"/>
              </w:rPr>
              <w:t>环境</w:t>
            </w:r>
            <w:r>
              <w:rPr>
                <w:rFonts w:hint="eastAsia" w:ascii="宋体" w:hAnsi="宋体" w:cs="Arial"/>
                <w:spacing w:val="-6"/>
                <w:szCs w:val="21"/>
              </w:rPr>
              <w:t>管理体系、5.1领导作用和承诺、5.2</w:t>
            </w:r>
            <w:r>
              <w:rPr>
                <w:rFonts w:hint="eastAsia" w:ascii="宋体" w:hAnsi="宋体" w:cs="Arial"/>
                <w:spacing w:val="-6"/>
                <w:szCs w:val="21"/>
                <w:lang w:eastAsia="zh-CN"/>
              </w:rPr>
              <w:t>环境</w:t>
            </w:r>
            <w:r>
              <w:rPr>
                <w:rFonts w:hint="eastAsia" w:ascii="宋体" w:hAnsi="宋体" w:cs="Arial"/>
                <w:spacing w:val="-6"/>
                <w:szCs w:val="21"/>
              </w:rPr>
              <w:t>方针、5.3组织的岗位、职责和权限</w:t>
            </w:r>
            <w:r>
              <w:rPr>
                <w:rFonts w:hint="eastAsia" w:ascii="宋体" w:hAnsi="宋体" w:eastAsia="宋体" w:cs="Arial"/>
                <w:spacing w:val="-6"/>
                <w:szCs w:val="21"/>
              </w:rPr>
              <w:t>、6.1.1策划总则、6.1.4措施的策划</w:t>
            </w:r>
            <w:r>
              <w:rPr>
                <w:rFonts w:hint="eastAsia" w:ascii="宋体" w:hAnsi="宋体" w:eastAsia="宋体" w:cs="Arial"/>
                <w:spacing w:val="-6"/>
                <w:szCs w:val="21"/>
                <w:lang w:eastAsia="zh-CN"/>
              </w:rPr>
              <w:t>、</w:t>
            </w:r>
            <w:r>
              <w:rPr>
                <w:rFonts w:hint="eastAsia" w:ascii="宋体" w:hAnsi="宋体" w:eastAsia="宋体" w:cs="Arial"/>
                <w:spacing w:val="-6"/>
                <w:szCs w:val="21"/>
              </w:rPr>
              <w:t>6.2</w:t>
            </w:r>
            <w:r>
              <w:rPr>
                <w:rFonts w:hint="eastAsia" w:ascii="宋体" w:hAnsi="宋体" w:eastAsia="宋体" w:cs="Arial"/>
                <w:spacing w:val="-6"/>
                <w:szCs w:val="21"/>
                <w:lang w:eastAsia="zh-CN"/>
              </w:rPr>
              <w:t>环</w:t>
            </w:r>
            <w:r>
              <w:rPr>
                <w:rFonts w:hint="eastAsia" w:ascii="宋体" w:hAnsi="宋体" w:cs="Arial"/>
                <w:spacing w:val="-6"/>
                <w:szCs w:val="21"/>
                <w:lang w:eastAsia="zh-CN"/>
              </w:rPr>
              <w:t>境</w:t>
            </w:r>
            <w:r>
              <w:rPr>
                <w:rFonts w:hint="eastAsia" w:ascii="宋体" w:hAnsi="宋体" w:cs="Arial"/>
                <w:spacing w:val="-6"/>
                <w:szCs w:val="21"/>
              </w:rPr>
              <w:t>目标及其实现的策划、7.1资源、</w:t>
            </w:r>
            <w:r>
              <w:rPr>
                <w:rFonts w:hint="eastAsia" w:ascii="宋体" w:hAnsi="宋体" w:cs="Arial"/>
                <w:spacing w:val="-6"/>
                <w:szCs w:val="21"/>
                <w:lang w:val="en-US" w:eastAsia="zh-CN"/>
              </w:rPr>
              <w:t>9.1.1</w:t>
            </w:r>
            <w:r>
              <w:rPr>
                <w:rFonts w:hint="eastAsia" w:ascii="宋体" w:hAnsi="宋体" w:cs="新宋体"/>
                <w:sz w:val="18"/>
                <w:szCs w:val="18"/>
              </w:rPr>
              <w:t>监测、分析和评估总则</w:t>
            </w:r>
            <w:r>
              <w:rPr>
                <w:rFonts w:hint="eastAsia" w:ascii="宋体" w:hAnsi="宋体" w:cs="新宋体"/>
                <w:sz w:val="18"/>
                <w:szCs w:val="18"/>
                <w:lang w:eastAsia="zh-CN"/>
              </w:rPr>
              <w:t>、</w:t>
            </w:r>
            <w:r>
              <w:rPr>
                <w:rFonts w:hint="eastAsia" w:ascii="宋体" w:hAnsi="宋体" w:cs="Arial"/>
                <w:spacing w:val="-6"/>
                <w:szCs w:val="21"/>
              </w:rPr>
              <w:t>9.3管理评审、10.1改进</w:t>
            </w:r>
            <w:r>
              <w:rPr>
                <w:rFonts w:hint="eastAsia" w:ascii="宋体" w:hAnsi="宋体" w:cs="Arial"/>
                <w:spacing w:val="-6"/>
                <w:szCs w:val="21"/>
                <w:lang w:val="en-US" w:eastAsia="zh-CN"/>
              </w:rPr>
              <w:t>总则</w:t>
            </w:r>
            <w:r>
              <w:rPr>
                <w:rFonts w:hint="eastAsia" w:ascii="宋体" w:hAnsi="宋体" w:cs="Arial"/>
                <w:spacing w:val="-6"/>
                <w:szCs w:val="21"/>
              </w:rPr>
              <w:t>、10.3持续改进；</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sz w:val="24"/>
                <w:szCs w:val="24"/>
              </w:rPr>
            </w:pPr>
          </w:p>
        </w:tc>
        <w:tc>
          <w:tcPr>
            <w:tcW w:w="11223" w:type="dxa"/>
            <w:vAlign w:val="center"/>
          </w:tcPr>
          <w:p>
            <w:pPr>
              <w:ind w:firstLine="400" w:firstLineChars="200"/>
              <w:rPr>
                <w:rFonts w:ascii="Times New Roman" w:hAnsi="Times New Roman" w:eastAsia="宋体" w:cs="Times New Roman"/>
                <w:sz w:val="20"/>
                <w:szCs w:val="22"/>
              </w:rPr>
            </w:pPr>
            <w:r>
              <w:rPr>
                <w:rFonts w:hint="eastAsia" w:ascii="Times New Roman" w:hAnsi="Times New Roman" w:eastAsia="宋体" w:cs="Times New Roman"/>
                <w:sz w:val="20"/>
                <w:szCs w:val="22"/>
              </w:rPr>
              <w:t>公司高层领导，总经理：</w:t>
            </w:r>
            <w:r>
              <w:rPr>
                <w:rFonts w:hint="eastAsia" w:cs="Times New Roman"/>
                <w:sz w:val="20"/>
                <w:szCs w:val="22"/>
                <w:lang w:val="en-US" w:eastAsia="zh-CN"/>
              </w:rPr>
              <w:t>赵后荣</w:t>
            </w:r>
            <w:r>
              <w:rPr>
                <w:rFonts w:hint="eastAsia" w:ascii="Times New Roman" w:hAnsi="Times New Roman" w:eastAsia="宋体" w:cs="Times New Roman"/>
                <w:sz w:val="20"/>
                <w:szCs w:val="22"/>
              </w:rPr>
              <w:t xml:space="preserve">  管者代表：</w:t>
            </w:r>
            <w:r>
              <w:rPr>
                <w:rFonts w:hint="eastAsia" w:cs="Times New Roman"/>
                <w:sz w:val="20"/>
                <w:szCs w:val="22"/>
                <w:lang w:val="en-US" w:eastAsia="zh-CN"/>
              </w:rPr>
              <w:t>崔祥林</w:t>
            </w:r>
            <w:r>
              <w:rPr>
                <w:rFonts w:hint="eastAsia" w:ascii="Times New Roman" w:hAnsi="Times New Roman" w:eastAsia="宋体" w:cs="Times New Roman"/>
                <w:sz w:val="20"/>
                <w:szCs w:val="22"/>
              </w:rPr>
              <w:t>。</w:t>
            </w:r>
          </w:p>
          <w:p>
            <w:pPr>
              <w:ind w:firstLine="400" w:firstLineChars="200"/>
              <w:rPr>
                <w:rFonts w:hint="eastAsia" w:ascii="Times New Roman" w:hAnsi="Times New Roman" w:eastAsia="宋体" w:cs="Times New Roman"/>
                <w:sz w:val="20"/>
                <w:szCs w:val="22"/>
              </w:rPr>
            </w:pPr>
            <w:r>
              <w:rPr>
                <w:rFonts w:hint="eastAsia" w:ascii="Times New Roman" w:hAnsi="Times New Roman" w:eastAsia="宋体" w:cs="Times New Roman"/>
                <w:sz w:val="20"/>
                <w:szCs w:val="22"/>
              </w:rPr>
              <w:t>提供营业执照在有效期内，经营地址与审</w:t>
            </w:r>
            <w:r>
              <w:rPr>
                <w:rFonts w:hint="eastAsia" w:ascii="Times New Roman" w:hAnsi="Times New Roman" w:eastAsia="宋体" w:cs="Times New Roman"/>
                <w:sz w:val="20"/>
                <w:szCs w:val="22"/>
                <w:lang w:val="en-US" w:eastAsia="zh-CN"/>
              </w:rPr>
              <w:t>核</w:t>
            </w:r>
            <w:r>
              <w:rPr>
                <w:rFonts w:hint="eastAsia" w:ascii="Times New Roman" w:hAnsi="Times New Roman" w:eastAsia="宋体" w:cs="Times New Roman"/>
                <w:sz w:val="20"/>
                <w:szCs w:val="22"/>
              </w:rPr>
              <w:t>计划和实际一致，包含认证范围，</w:t>
            </w:r>
            <w:r>
              <w:rPr>
                <w:rFonts w:hint="eastAsia" w:ascii="Times New Roman" w:hAnsi="Times New Roman" w:eastAsia="宋体" w:cs="Times New Roman"/>
                <w:sz w:val="20"/>
                <w:szCs w:val="22"/>
                <w:lang w:val="en-US" w:eastAsia="zh-CN"/>
              </w:rPr>
              <w:t>营业期限：</w:t>
            </w:r>
            <w:r>
              <w:rPr>
                <w:rFonts w:hint="eastAsia" w:ascii="Times New Roman" w:hAnsi="Times New Roman" w:eastAsia="宋体" w:cs="Times New Roman"/>
                <w:sz w:val="20"/>
                <w:szCs w:val="22"/>
              </w:rPr>
              <w:t>20</w:t>
            </w:r>
            <w:r>
              <w:rPr>
                <w:rFonts w:hint="eastAsia" w:ascii="Times New Roman" w:hAnsi="Times New Roman" w:eastAsia="宋体" w:cs="Times New Roman"/>
                <w:sz w:val="20"/>
                <w:szCs w:val="22"/>
                <w:lang w:val="en-US" w:eastAsia="zh-CN"/>
              </w:rPr>
              <w:t>17</w:t>
            </w:r>
            <w:r>
              <w:rPr>
                <w:rFonts w:hint="eastAsia" w:ascii="Times New Roman" w:hAnsi="Times New Roman" w:eastAsia="宋体" w:cs="Times New Roman"/>
                <w:sz w:val="20"/>
                <w:szCs w:val="22"/>
              </w:rPr>
              <w:t>年</w:t>
            </w:r>
            <w:r>
              <w:rPr>
                <w:rFonts w:hint="eastAsia" w:ascii="Times New Roman" w:hAnsi="Times New Roman" w:eastAsia="宋体" w:cs="Times New Roman"/>
                <w:sz w:val="20"/>
                <w:szCs w:val="22"/>
                <w:lang w:val="en-US" w:eastAsia="zh-CN"/>
              </w:rPr>
              <w:t>10</w:t>
            </w:r>
            <w:r>
              <w:rPr>
                <w:rFonts w:hint="eastAsia" w:ascii="Times New Roman" w:hAnsi="Times New Roman" w:eastAsia="宋体" w:cs="Times New Roman"/>
                <w:sz w:val="20"/>
                <w:szCs w:val="22"/>
              </w:rPr>
              <w:t>月</w:t>
            </w:r>
            <w:r>
              <w:rPr>
                <w:rFonts w:hint="eastAsia" w:ascii="Times New Roman" w:hAnsi="Times New Roman" w:eastAsia="宋体" w:cs="Times New Roman"/>
                <w:sz w:val="20"/>
                <w:szCs w:val="22"/>
                <w:lang w:val="en-US" w:eastAsia="zh-CN"/>
              </w:rPr>
              <w:t>26</w:t>
            </w:r>
            <w:r>
              <w:rPr>
                <w:rFonts w:hint="eastAsia" w:ascii="Times New Roman" w:hAnsi="Times New Roman" w:eastAsia="宋体" w:cs="Times New Roman"/>
                <w:sz w:val="20"/>
                <w:szCs w:val="22"/>
              </w:rPr>
              <w:t>日-</w:t>
            </w:r>
            <w:r>
              <w:rPr>
                <w:rFonts w:hint="eastAsia" w:ascii="Times New Roman" w:hAnsi="Times New Roman" w:eastAsia="宋体" w:cs="Times New Roman"/>
                <w:sz w:val="20"/>
                <w:szCs w:val="22"/>
                <w:lang w:val="en-US" w:eastAsia="zh-CN"/>
              </w:rPr>
              <w:t>长期</w:t>
            </w:r>
            <w:r>
              <w:rPr>
                <w:rFonts w:hint="eastAsia" w:ascii="Times New Roman" w:hAnsi="Times New Roman" w:eastAsia="宋体" w:cs="Times New Roman"/>
                <w:sz w:val="20"/>
                <w:szCs w:val="22"/>
              </w:rPr>
              <w:t>。</w:t>
            </w:r>
          </w:p>
          <w:p>
            <w:pPr>
              <w:ind w:firstLine="400" w:firstLineChars="200"/>
              <w:rPr>
                <w:rFonts w:ascii="Times New Roman" w:hAnsi="Times New Roman" w:eastAsia="宋体" w:cs="Times New Roman"/>
                <w:sz w:val="20"/>
                <w:szCs w:val="22"/>
              </w:rPr>
            </w:pPr>
            <w:r>
              <w:rPr>
                <w:rFonts w:hint="eastAsia" w:ascii="Times New Roman" w:hAnsi="Times New Roman" w:eastAsia="宋体" w:cs="Times New Roman"/>
                <w:sz w:val="20"/>
                <w:szCs w:val="22"/>
              </w:rPr>
              <w:t>认证范围确定为：</w:t>
            </w:r>
          </w:p>
          <w:p>
            <w:pPr>
              <w:ind w:firstLine="400" w:firstLineChars="200"/>
              <w:rPr>
                <w:rFonts w:ascii="Times New Roman" w:hAnsi="Times New Roman" w:eastAsia="宋体" w:cs="Times New Roman"/>
                <w:sz w:val="20"/>
                <w:szCs w:val="22"/>
              </w:rPr>
            </w:pPr>
            <w:r>
              <w:rPr>
                <w:rFonts w:ascii="Times New Roman" w:hAnsi="Times New Roman" w:eastAsia="宋体" w:cs="Times New Roman"/>
                <w:sz w:val="20"/>
                <w:szCs w:val="22"/>
              </w:rPr>
              <w:t>E：初级农产品（水产品，果蔬、鲜/冻畜禽肉、禽蛋）的销售；资质许可范围内的预包装食品（调味品、干货、冷冻畜禽肉）的销售所涉及场所的相关环境管理活动</w:t>
            </w:r>
          </w:p>
          <w:p>
            <w:pPr>
              <w:ind w:firstLine="400" w:firstLineChars="200"/>
              <w:rPr>
                <w:rFonts w:hint="eastAsia" w:ascii="Times New Roman" w:hAnsi="Times New Roman" w:eastAsia="宋体" w:cs="Times New Roman"/>
                <w:sz w:val="20"/>
                <w:szCs w:val="22"/>
              </w:rPr>
            </w:pPr>
            <w:r>
              <w:rPr>
                <w:rFonts w:hint="eastAsia" w:ascii="Times New Roman" w:hAnsi="Times New Roman" w:eastAsia="宋体" w:cs="Times New Roman"/>
                <w:sz w:val="20"/>
                <w:szCs w:val="22"/>
              </w:rPr>
              <w:t>管理体系设置了管理层、</w:t>
            </w:r>
            <w:r>
              <w:rPr>
                <w:rFonts w:hint="eastAsia" w:ascii="Times New Roman" w:hAnsi="Times New Roman" w:eastAsia="宋体" w:cs="Times New Roman"/>
                <w:sz w:val="20"/>
                <w:szCs w:val="22"/>
                <w:lang w:eastAsia="zh-CN"/>
              </w:rPr>
              <w:t>综合办</w:t>
            </w:r>
            <w:r>
              <w:rPr>
                <w:rFonts w:hint="eastAsia" w:ascii="Times New Roman" w:hAnsi="Times New Roman" w:eastAsia="宋体" w:cs="Times New Roman"/>
                <w:sz w:val="20"/>
                <w:szCs w:val="22"/>
              </w:rPr>
              <w:t>、</w:t>
            </w:r>
            <w:r>
              <w:rPr>
                <w:rFonts w:hint="eastAsia" w:ascii="Times New Roman" w:hAnsi="Times New Roman" w:eastAsia="宋体" w:cs="Times New Roman"/>
                <w:sz w:val="20"/>
                <w:szCs w:val="22"/>
                <w:lang w:val="en-US" w:eastAsia="zh-CN"/>
              </w:rPr>
              <w:t>销售</w:t>
            </w:r>
            <w:r>
              <w:rPr>
                <w:rFonts w:hint="eastAsia" w:ascii="Times New Roman" w:hAnsi="Times New Roman" w:eastAsia="宋体" w:cs="Times New Roman"/>
                <w:sz w:val="20"/>
                <w:szCs w:val="22"/>
              </w:rPr>
              <w:t>部。各部门职责已确定并在手册中明确、发布、实施。</w:t>
            </w:r>
          </w:p>
          <w:p>
            <w:pPr>
              <w:ind w:firstLine="400" w:firstLineChars="200"/>
              <w:rPr>
                <w:rFonts w:hint="eastAsia" w:ascii="Times New Roman" w:hAnsi="Times New Roman" w:eastAsia="宋体" w:cs="Times New Roman"/>
                <w:sz w:val="20"/>
                <w:szCs w:val="22"/>
                <w:lang w:eastAsia="zh-CN"/>
              </w:rPr>
            </w:pPr>
            <w:r>
              <w:rPr>
                <w:rFonts w:hint="eastAsia" w:ascii="Times New Roman" w:hAnsi="Times New Roman" w:eastAsia="宋体" w:cs="Times New Roman"/>
                <w:sz w:val="20"/>
                <w:szCs w:val="22"/>
              </w:rPr>
              <w:t>认证主管部门：</w:t>
            </w:r>
            <w:r>
              <w:rPr>
                <w:rFonts w:hint="eastAsia" w:ascii="Times New Roman" w:hAnsi="Times New Roman" w:eastAsia="宋体" w:cs="Times New Roman"/>
                <w:sz w:val="20"/>
                <w:szCs w:val="22"/>
                <w:lang w:eastAsia="zh-CN"/>
              </w:rPr>
              <w:t>综合办</w:t>
            </w:r>
          </w:p>
          <w:p>
            <w:pPr>
              <w:ind w:firstLine="400" w:firstLineChars="200"/>
              <w:rPr>
                <w:rFonts w:hint="eastAsia" w:ascii="Times New Roman" w:hAnsi="Times New Roman" w:eastAsia="宋体" w:cs="Times New Roman"/>
                <w:sz w:val="20"/>
                <w:szCs w:val="22"/>
              </w:rPr>
            </w:pPr>
            <w:r>
              <w:rPr>
                <w:rFonts w:hint="eastAsia" w:ascii="Times New Roman" w:hAnsi="Times New Roman" w:eastAsia="宋体" w:cs="Times New Roman"/>
                <w:sz w:val="20"/>
                <w:szCs w:val="22"/>
              </w:rPr>
              <w:t>环评：</w:t>
            </w:r>
            <w:r>
              <w:rPr>
                <w:rFonts w:hint="eastAsia" w:ascii="Times New Roman" w:hAnsi="Times New Roman" w:eastAsia="宋体" w:cs="Times New Roman"/>
                <w:sz w:val="20"/>
                <w:szCs w:val="22"/>
                <w:lang w:val="en-US" w:eastAsia="zh-CN"/>
              </w:rPr>
              <w:t>目前体系范围为</w:t>
            </w:r>
            <w:r>
              <w:rPr>
                <w:rFonts w:ascii="Times New Roman" w:hAnsi="Times New Roman" w:eastAsia="宋体" w:cs="Times New Roman"/>
                <w:sz w:val="20"/>
                <w:szCs w:val="22"/>
              </w:rPr>
              <w:t>初级农产品（水产品，果蔬、鲜/冻畜禽肉、禽蛋）的销售；资质许可范围内的预包装食品（调味品、干货、冷冻畜禽肉）</w:t>
            </w:r>
            <w:r>
              <w:rPr>
                <w:rFonts w:hint="eastAsia" w:ascii="Times New Roman" w:hAnsi="Times New Roman" w:eastAsia="宋体" w:cs="Times New Roman"/>
                <w:sz w:val="20"/>
                <w:szCs w:val="22"/>
              </w:rPr>
              <w:t>，暂不需要。</w:t>
            </w:r>
          </w:p>
          <w:p>
            <w:pPr>
              <w:ind w:firstLine="400" w:firstLineChars="200"/>
              <w:rPr>
                <w:rFonts w:hint="eastAsia" w:ascii="Times New Roman" w:hAnsi="Times New Roman" w:eastAsia="宋体" w:cs="Times New Roman"/>
                <w:sz w:val="20"/>
                <w:szCs w:val="22"/>
                <w:lang w:eastAsia="zh-CN"/>
              </w:rPr>
            </w:pPr>
            <w:r>
              <w:rPr>
                <w:rFonts w:hint="eastAsia" w:ascii="Times New Roman" w:hAnsi="Times New Roman" w:eastAsia="宋体" w:cs="Times New Roman"/>
                <w:sz w:val="20"/>
                <w:szCs w:val="22"/>
              </w:rPr>
              <w:t>管理者代表：</w:t>
            </w:r>
            <w:r>
              <w:rPr>
                <w:rFonts w:hint="eastAsia" w:cs="Times New Roman"/>
                <w:sz w:val="20"/>
                <w:szCs w:val="22"/>
                <w:lang w:val="en-US" w:eastAsia="zh-CN"/>
              </w:rPr>
              <w:t>崔祥林</w:t>
            </w:r>
            <w:r>
              <w:rPr>
                <w:rFonts w:hint="eastAsia" w:ascii="Times New Roman" w:hAnsi="Times New Roman" w:eastAsia="宋体" w:cs="Times New Roman"/>
                <w:sz w:val="20"/>
                <w:szCs w:val="22"/>
              </w:rPr>
              <w:t>；</w:t>
            </w:r>
          </w:p>
          <w:p>
            <w:pPr>
              <w:ind w:firstLine="400" w:firstLineChars="200"/>
              <w:rPr>
                <w:rFonts w:cs="宋体" w:asciiTheme="minorEastAsia" w:hAnsiTheme="minorEastAsia" w:eastAsiaTheme="minorEastAsia"/>
                <w:sz w:val="24"/>
                <w:szCs w:val="24"/>
              </w:rPr>
            </w:pPr>
            <w:r>
              <w:rPr>
                <w:rFonts w:hint="eastAsia" w:ascii="Times New Roman" w:hAnsi="Times New Roman" w:eastAsia="宋体" w:cs="Times New Roman"/>
                <w:sz w:val="20"/>
                <w:szCs w:val="22"/>
              </w:rPr>
              <w:t>总经理确定与公司管理目标和战略方向相关并影响实现管理体系预期结果的各种内部因素（公司价值观、文化、知识、绩效等相关因素）和外部因素（国家、地区和当地的各种法律法规、技术、竞争、文化和社会因素等）。这些因素包括了需要考虑的正面和负面因素或条件。公司业务部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sz w:val="24"/>
                <w:szCs w:val="24"/>
              </w:rPr>
            </w:pPr>
          </w:p>
        </w:tc>
        <w:tc>
          <w:tcPr>
            <w:tcW w:w="11223" w:type="dxa"/>
            <w:vAlign w:val="center"/>
          </w:tcPr>
          <w:p>
            <w:pPr>
              <w:ind w:firstLine="400" w:firstLineChars="200"/>
              <w:rPr>
                <w:rFonts w:hint="eastAsia" w:ascii="Times New Roman" w:hAnsi="Times New Roman" w:eastAsia="宋体" w:cs="Times New Roman"/>
                <w:sz w:val="20"/>
                <w:szCs w:val="22"/>
              </w:rPr>
            </w:pPr>
            <w:r>
              <w:rPr>
                <w:rFonts w:hint="eastAsia" w:ascii="Times New Roman" w:hAnsi="Times New Roman" w:eastAsia="宋体" w:cs="Times New Roman"/>
                <w:sz w:val="20"/>
                <w:szCs w:val="22"/>
              </w:rPr>
              <w:t>公司确定了：与管理体系有关的相关方，公司关注外部供方和顾客；这些相关方的要求；这些要求和期望中哪些会成为合规义务，公司对这些相关方及其要求的相关信息进行监视和评审，以便于理解和持续满足相关方的需求和期望。</w:t>
            </w:r>
          </w:p>
          <w:p>
            <w:pPr>
              <w:ind w:firstLine="400" w:firstLineChars="200"/>
              <w:rPr>
                <w:rFonts w:cs="宋体" w:asciiTheme="minorEastAsia" w:hAnsiTheme="minorEastAsia" w:eastAsiaTheme="minorEastAsia"/>
                <w:sz w:val="24"/>
                <w:szCs w:val="24"/>
              </w:rPr>
            </w:pPr>
            <w:r>
              <w:rPr>
                <w:rFonts w:hint="eastAsia" w:ascii="Times New Roman" w:hAnsi="Times New Roman" w:eastAsia="宋体" w:cs="Times New Roman"/>
                <w:sz w:val="20"/>
                <w:szCs w:val="22"/>
              </w:rPr>
              <w:t>公司理解相关方的需求和期望，建立了管理方针和目标并分解落实，以满足相关方的要求并争取做到更高的期望值。</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hint="eastAsia" w:cs="宋体" w:asciiTheme="minorEastAsia" w:hAnsiTheme="minorEastAsia" w:eastAsiaTheme="minorEastAsia"/>
                <w:szCs w:val="21"/>
              </w:rPr>
              <w:t xml:space="preserve"> 4.3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确定管理体系范围时考虑内容：各种内部和外部因素；相关方的要求，包括相关合规义务；组织的活动、产品和产品；其组织单元、职能和物理边界。</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公司管理体系范围：</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E：初级农产品（水产品，果蔬、鲜/冻畜禽肉、禽蛋）的销售；资质许可范围内的预包装食品（调味品、干货、冷冻畜禽肉）的销售所涉及场所的相关环境管理活动</w:t>
            </w:r>
            <w:r>
              <w:rPr>
                <w:rFonts w:hint="eastAsia" w:cs="宋体" w:asciiTheme="minorEastAsia" w:hAnsiTheme="minorEastAsia" w:eastAsiaTheme="minorEastAsia"/>
                <w:szCs w:val="21"/>
              </w:rPr>
              <w:t>外包情况：</w:t>
            </w:r>
            <w:r>
              <w:rPr>
                <w:rFonts w:hint="eastAsia" w:cs="宋体" w:asciiTheme="minorEastAsia" w:hAnsiTheme="minorEastAsia" w:eastAsiaTheme="minorEastAsia"/>
                <w:szCs w:val="21"/>
                <w:lang w:val="en-US" w:eastAsia="zh-CN"/>
              </w:rPr>
              <w:t>无</w:t>
            </w:r>
            <w:r>
              <w:rPr>
                <w:rFonts w:hint="eastAsia" w:cs="宋体" w:asciiTheme="minorEastAsia" w:hAnsiTheme="minorEastAsia" w:eastAsiaTheme="minorEastAsia"/>
                <w:szCs w:val="21"/>
              </w:rPr>
              <w:t>。</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公司确定管理体系及其过程；公司确保按照环境、职业健康安全管理体系标准要求建立、实施、保持和持续改进管理体系，包括所需过程及其相互作用。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公司确定环境、职业健康安全管理体系所需的过程及其在整个组织中的应用。</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公司按照标准建立了文件化的管理体系，编制了新版的管理手册，程序文件、管理制度，形成了相关文件化信息，为过程运行提供了支持，以证实过程按照策划执行。</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hint="eastAsia" w:cs="宋体" w:asciiTheme="minorEastAsia" w:hAnsiTheme="minorEastAsia" w:eastAsiaTheme="minorEastAsia"/>
                <w:szCs w:val="21"/>
              </w:rPr>
              <w:t>5.1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 w:val="24"/>
                <w:szCs w:val="24"/>
              </w:rPr>
            </w:pPr>
            <w:r>
              <w:rPr>
                <w:rFonts w:hint="eastAsia"/>
                <w:sz w:val="21"/>
                <w:szCs w:val="21"/>
              </w:rPr>
              <w:t>最高管理层都具有较强的管理意识 ，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1223" w:type="dxa"/>
            <w:vAlign w:val="center"/>
          </w:tcPr>
          <w:p>
            <w:pPr>
              <w:ind w:firstLine="180"/>
              <w:jc w:val="both"/>
              <w:rPr>
                <w:rFonts w:hint="eastAsia"/>
                <w:b/>
                <w:bCs/>
                <w:sz w:val="24"/>
                <w:szCs w:val="24"/>
              </w:rPr>
            </w:pPr>
            <w:r>
              <w:rPr>
                <w:rFonts w:hint="eastAsia"/>
                <w:sz w:val="21"/>
                <w:szCs w:val="21"/>
              </w:rPr>
              <w:t>管理方针：</w:t>
            </w:r>
            <w:r>
              <w:rPr>
                <w:rFonts w:hint="eastAsia"/>
                <w:sz w:val="28"/>
                <w:szCs w:val="28"/>
                <w:lang w:val="en-US" w:eastAsia="zh-CN"/>
              </w:rPr>
              <w:t xml:space="preserve"> </w:t>
            </w:r>
            <w:r>
              <w:rPr>
                <w:rFonts w:hint="eastAsia"/>
                <w:b/>
                <w:bCs/>
                <w:sz w:val="28"/>
                <w:szCs w:val="28"/>
                <w:lang w:val="en-US" w:eastAsia="zh-CN"/>
              </w:rPr>
              <w:t xml:space="preserve"> </w:t>
            </w:r>
            <w:r>
              <w:rPr>
                <w:rFonts w:hint="eastAsia"/>
                <w:b/>
                <w:bCs/>
                <w:sz w:val="24"/>
                <w:szCs w:val="24"/>
              </w:rPr>
              <w:t>以人为本，科技领先；</w:t>
            </w:r>
          </w:p>
          <w:p>
            <w:pPr>
              <w:spacing w:line="360" w:lineRule="auto"/>
              <w:ind w:firstLine="1928" w:firstLineChars="800"/>
              <w:rPr>
                <w:rFonts w:hint="eastAsia" w:eastAsia="宋体"/>
                <w:b/>
                <w:bCs/>
                <w:sz w:val="24"/>
                <w:szCs w:val="24"/>
                <w:lang w:eastAsia="zh-CN"/>
              </w:rPr>
            </w:pPr>
            <w:r>
              <w:rPr>
                <w:rFonts w:hint="eastAsia"/>
                <w:b/>
                <w:bCs/>
                <w:sz w:val="24"/>
                <w:szCs w:val="24"/>
              </w:rPr>
              <w:t>遵章守法，安全环保</w:t>
            </w:r>
            <w:r>
              <w:rPr>
                <w:rFonts w:hint="eastAsia"/>
                <w:b/>
                <w:bCs/>
                <w:sz w:val="24"/>
                <w:szCs w:val="24"/>
                <w:lang w:eastAsia="zh-CN"/>
              </w:rPr>
              <w:t>；</w:t>
            </w:r>
          </w:p>
          <w:p>
            <w:pPr>
              <w:spacing w:line="280" w:lineRule="exact"/>
              <w:ind w:firstLine="420" w:firstLineChars="200"/>
              <w:rPr>
                <w:rFonts w:cs="宋体" w:asciiTheme="minorEastAsia" w:hAnsiTheme="minorEastAsia" w:eastAsiaTheme="minorEastAsia"/>
                <w:sz w:val="24"/>
                <w:szCs w:val="24"/>
              </w:rPr>
            </w:pPr>
            <w:r>
              <w:rPr>
                <w:rFonts w:hint="eastAsia"/>
                <w:sz w:val="21"/>
                <w:szCs w:val="21"/>
              </w:rPr>
              <w:t>管理方针与企业的经营宗旨相适应，协调；通过会议传达，沟通，让全体员工理解执行。并定期进行评审（一般一年一次）。</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E</w:t>
            </w: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sz w:val="24"/>
                <w:szCs w:val="24"/>
              </w:rPr>
            </w:pPr>
          </w:p>
        </w:tc>
        <w:tc>
          <w:tcPr>
            <w:tcW w:w="11223" w:type="dxa"/>
            <w:vAlign w:val="center"/>
          </w:tcPr>
          <w:p>
            <w:pPr>
              <w:rPr>
                <w:rFonts w:hint="eastAsia"/>
                <w:sz w:val="21"/>
                <w:szCs w:val="21"/>
              </w:rPr>
            </w:pPr>
            <w:r>
              <w:rPr>
                <w:rFonts w:hint="eastAsia"/>
                <w:sz w:val="21"/>
                <w:szCs w:val="21"/>
              </w:rPr>
              <w:t>公司</w:t>
            </w:r>
            <w:r>
              <w:rPr>
                <w:rFonts w:hint="eastAsia"/>
                <w:sz w:val="21"/>
                <w:szCs w:val="21"/>
                <w:lang w:eastAsia="zh-CN"/>
              </w:rPr>
              <w:t>环境</w:t>
            </w:r>
            <w:r>
              <w:rPr>
                <w:rFonts w:hint="eastAsia"/>
                <w:sz w:val="21"/>
                <w:szCs w:val="21"/>
              </w:rPr>
              <w:t>管理体系覆盖的部门包括：管理层</w:t>
            </w:r>
            <w:r>
              <w:rPr>
                <w:rFonts w:hint="eastAsia"/>
                <w:sz w:val="21"/>
                <w:szCs w:val="21"/>
                <w:lang w:eastAsia="zh-CN"/>
              </w:rPr>
              <w:t>、</w:t>
            </w:r>
            <w:r>
              <w:rPr>
                <w:rFonts w:hint="eastAsia"/>
                <w:sz w:val="21"/>
                <w:szCs w:val="21"/>
                <w:lang w:val="en-US" w:eastAsia="zh-CN"/>
              </w:rPr>
              <w:t>综合办</w:t>
            </w:r>
            <w:r>
              <w:rPr>
                <w:rFonts w:hint="eastAsia"/>
                <w:sz w:val="21"/>
                <w:szCs w:val="21"/>
              </w:rPr>
              <w:t>、</w:t>
            </w:r>
            <w:r>
              <w:rPr>
                <w:rFonts w:hint="eastAsia"/>
                <w:sz w:val="21"/>
                <w:szCs w:val="21"/>
                <w:lang w:val="en-US" w:eastAsia="zh-CN"/>
              </w:rPr>
              <w:t>销售部</w:t>
            </w:r>
            <w:r>
              <w:rPr>
                <w:rFonts w:hint="eastAsia"/>
                <w:sz w:val="21"/>
                <w:szCs w:val="21"/>
              </w:rPr>
              <w:t>划分尚可。</w:t>
            </w:r>
          </w:p>
          <w:p>
            <w:pPr>
              <w:rPr>
                <w:rFonts w:hint="eastAsia"/>
                <w:sz w:val="21"/>
                <w:szCs w:val="21"/>
              </w:rPr>
            </w:pPr>
            <w:r>
              <w:rPr>
                <w:rFonts w:hint="eastAsia"/>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w:t>
            </w:r>
            <w:r>
              <w:rPr>
                <w:rFonts w:hint="eastAsia"/>
                <w:sz w:val="21"/>
                <w:szCs w:val="21"/>
                <w:lang w:eastAsia="zh-CN"/>
              </w:rPr>
              <w:t>办公室</w:t>
            </w:r>
            <w:r>
              <w:rPr>
                <w:rFonts w:hint="eastAsia"/>
                <w:sz w:val="21"/>
                <w:szCs w:val="21"/>
              </w:rPr>
              <w:t>管理制度、</w:t>
            </w:r>
            <w:r>
              <w:rPr>
                <w:rFonts w:hint="eastAsia"/>
                <w:sz w:val="21"/>
                <w:szCs w:val="21"/>
                <w:lang w:val="en-US" w:eastAsia="zh-CN"/>
              </w:rPr>
              <w:t>设备</w:t>
            </w:r>
            <w:r>
              <w:rPr>
                <w:rFonts w:hint="eastAsia"/>
                <w:sz w:val="21"/>
                <w:szCs w:val="21"/>
              </w:rPr>
              <w:t>管理制度等，基本明确了各级人员的环境管理职责等。确认公司目前人力资源、基础设施、技术人员、财力、信息资源均能保证。</w:t>
            </w:r>
          </w:p>
          <w:p>
            <w:pPr>
              <w:spacing w:line="280" w:lineRule="exact"/>
              <w:ind w:firstLine="420" w:firstLineChars="200"/>
              <w:rPr>
                <w:rFonts w:cs="宋体" w:asciiTheme="minorEastAsia" w:hAnsiTheme="minorEastAsia" w:eastAsiaTheme="minorEastAsia"/>
                <w:sz w:val="24"/>
                <w:szCs w:val="24"/>
              </w:rPr>
            </w:pPr>
            <w:r>
              <w:rPr>
                <w:rFonts w:hint="eastAsia"/>
                <w:sz w:val="21"/>
                <w:szCs w:val="21"/>
              </w:rPr>
              <w:t>详见各部门相关条款审核记录。</w:t>
            </w:r>
            <w:r>
              <w:rPr>
                <w:rFonts w:hint="eastAsia" w:cs="宋体" w:asciiTheme="minorEastAsia" w:hAnsiTheme="minorEastAsia" w:eastAsiaTheme="minorEastAsia"/>
                <w:szCs w:val="21"/>
              </w:rPr>
              <w:t xml:space="preserve"> </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07" w:type="dxa"/>
          </w:tcPr>
          <w:p>
            <w:pPr>
              <w:spacing w:line="280" w:lineRule="exac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策划总则</w:t>
            </w:r>
          </w:p>
        </w:tc>
        <w:tc>
          <w:tcPr>
            <w:tcW w:w="1019" w:type="dxa"/>
          </w:tcPr>
          <w:p>
            <w:pPr>
              <w:spacing w:line="280" w:lineRule="exac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E6.1.1</w:t>
            </w:r>
          </w:p>
        </w:tc>
        <w:tc>
          <w:tcPr>
            <w:tcW w:w="11223" w:type="dxa"/>
            <w:vAlign w:val="center"/>
          </w:tcPr>
          <w:p>
            <w:r>
              <w:rPr>
                <w:rFonts w:hint="eastAsia" w:cs="宋体"/>
              </w:rPr>
              <w:t>编制了《</w:t>
            </w:r>
            <w:r>
              <w:rPr>
                <w:rFonts w:hint="eastAsia" w:ascii="宋体" w:hAnsi="宋体"/>
                <w:sz w:val="24"/>
              </w:rPr>
              <w:t>风险和机遇控制程序</w:t>
            </w:r>
            <w:r>
              <w:rPr>
                <w:rFonts w:hint="eastAsia" w:cs="宋体"/>
              </w:rPr>
              <w:t>》。</w:t>
            </w:r>
          </w:p>
          <w:p>
            <w:pPr>
              <w:numPr>
                <w:ilvl w:val="0"/>
                <w:numId w:val="0"/>
              </w:numPr>
              <w:rPr>
                <w:rFonts w:hint="eastAsia" w:cs="宋体"/>
              </w:rPr>
            </w:pPr>
            <w:r>
              <w:rPr>
                <w:rFonts w:hint="eastAsia" w:cs="宋体"/>
                <w:lang w:val="en-US" w:eastAsia="zh-CN"/>
              </w:rPr>
              <w:t>提供了</w:t>
            </w:r>
            <w:r>
              <w:rPr>
                <w:rFonts w:hint="eastAsia" w:cs="宋体"/>
              </w:rPr>
              <w:t>《</w:t>
            </w:r>
            <w:r>
              <w:rPr>
                <w:rFonts w:hint="eastAsia"/>
                <w:sz w:val="21"/>
                <w:szCs w:val="21"/>
              </w:rPr>
              <w:t>风险和机遇</w:t>
            </w:r>
            <w:r>
              <w:rPr>
                <w:rFonts w:hint="eastAsia"/>
                <w:sz w:val="21"/>
                <w:szCs w:val="21"/>
                <w:lang w:val="en-US" w:eastAsia="zh-CN"/>
              </w:rPr>
              <w:t>识别</w:t>
            </w:r>
            <w:r>
              <w:rPr>
                <w:rFonts w:hint="eastAsia"/>
                <w:sz w:val="21"/>
                <w:szCs w:val="21"/>
              </w:rPr>
              <w:t>表</w:t>
            </w:r>
            <w:r>
              <w:rPr>
                <w:rFonts w:hint="eastAsia" w:cs="宋体"/>
              </w:rPr>
              <w:t>》，确</w:t>
            </w:r>
            <w:r>
              <w:rPr>
                <w:rFonts w:hint="eastAsia"/>
                <w:sz w:val="21"/>
                <w:szCs w:val="21"/>
              </w:rPr>
              <w:t>定了组织需应对的风险和机遇。</w:t>
            </w:r>
            <w:r>
              <w:rPr>
                <w:rFonts w:hint="default"/>
                <w:sz w:val="21"/>
                <w:szCs w:val="21"/>
              </w:rPr>
              <w:t>如风险：</w:t>
            </w:r>
            <w:r>
              <w:rPr>
                <w:rFonts w:hint="eastAsia"/>
                <w:sz w:val="21"/>
                <w:szCs w:val="21"/>
              </w:rPr>
              <w:t>消防设备及器材检修维护不及时</w:t>
            </w:r>
            <w:r>
              <w:rPr>
                <w:rFonts w:hint="default"/>
                <w:sz w:val="21"/>
                <w:szCs w:val="21"/>
              </w:rPr>
              <w:t>；应对措施：</w:t>
            </w:r>
            <w:r>
              <w:rPr>
                <w:rFonts w:hint="eastAsia"/>
                <w:sz w:val="21"/>
                <w:szCs w:val="21"/>
                <w:lang w:val="en-US" w:eastAsia="zh-CN"/>
              </w:rPr>
              <w:t>制定应急预案，</w:t>
            </w:r>
            <w:r>
              <w:rPr>
                <w:rFonts w:hint="eastAsia"/>
                <w:sz w:val="21"/>
                <w:szCs w:val="21"/>
              </w:rPr>
              <w:t>专人</w:t>
            </w:r>
            <w:r>
              <w:rPr>
                <w:rFonts w:hint="eastAsia"/>
                <w:sz w:val="21"/>
                <w:szCs w:val="21"/>
                <w:lang w:val="en-US" w:eastAsia="zh-CN"/>
              </w:rPr>
              <w:t>负责</w:t>
            </w:r>
            <w:r>
              <w:rPr>
                <w:rFonts w:hint="eastAsia"/>
                <w:sz w:val="21"/>
                <w:szCs w:val="21"/>
              </w:rPr>
              <w:t>检修维护消防器材</w:t>
            </w:r>
            <w:r>
              <w:rPr>
                <w:rFonts w:hint="default"/>
                <w:sz w:val="21"/>
                <w:szCs w:val="21"/>
              </w:rPr>
              <w:t>；执行部</w:t>
            </w:r>
            <w:r>
              <w:rPr>
                <w:rFonts w:hint="default" w:ascii="Times New Roman" w:hAnsi="Times New Roman" w:cs="Times New Roman"/>
                <w:sz w:val="21"/>
                <w:szCs w:val="21"/>
              </w:rPr>
              <w:t>门：</w:t>
            </w:r>
            <w:r>
              <w:rPr>
                <w:rFonts w:hint="eastAsia" w:ascii="Times New Roman" w:hAnsi="Times New Roman" w:cs="Times New Roman"/>
                <w:sz w:val="21"/>
                <w:szCs w:val="21"/>
                <w:lang w:val="en-US" w:eastAsia="zh-CN"/>
              </w:rPr>
              <w:t>办公室</w:t>
            </w:r>
            <w:r>
              <w:rPr>
                <w:rFonts w:hint="default" w:ascii="Times New Roman" w:hAnsi="Times New Roman" w:cs="Times New Roman"/>
                <w:sz w:val="21"/>
                <w:szCs w:val="21"/>
              </w:rPr>
              <w:t>。组织在确定这些风险和机遇时，考虑了员工岗位技能、</w:t>
            </w:r>
            <w:r>
              <w:rPr>
                <w:rFonts w:hint="eastAsia" w:ascii="Times New Roman" w:hAnsi="Times New Roman" w:cs="Times New Roman"/>
                <w:sz w:val="21"/>
                <w:szCs w:val="21"/>
                <w:lang w:val="en-US" w:eastAsia="zh-CN"/>
              </w:rPr>
              <w:t>销售</w:t>
            </w:r>
            <w:r>
              <w:rPr>
                <w:rFonts w:hint="default" w:ascii="Times New Roman" w:hAnsi="Times New Roman" w:cs="Times New Roman"/>
                <w:sz w:val="21"/>
                <w:szCs w:val="21"/>
              </w:rPr>
              <w:t>能力、市场需求等内外部因素及合同方（顾客）的相关要求。</w:t>
            </w:r>
          </w:p>
          <w:p>
            <w:pPr>
              <w:numPr>
                <w:ilvl w:val="0"/>
                <w:numId w:val="0"/>
              </w:numPr>
              <w:rPr>
                <w:rFonts w:cs="宋体"/>
              </w:rPr>
            </w:pPr>
            <w:r>
              <w:rPr>
                <w:rFonts w:hint="eastAsia" w:cs="宋体"/>
              </w:rPr>
              <w:t>评审人：</w:t>
            </w:r>
            <w:r>
              <w:rPr>
                <w:rFonts w:hint="eastAsia" w:cs="宋体"/>
                <w:lang w:val="en-US" w:eastAsia="zh-CN"/>
              </w:rPr>
              <w:t>赵后荣</w:t>
            </w:r>
            <w:r>
              <w:rPr>
                <w:rFonts w:hint="eastAsia" w:cs="宋体"/>
              </w:rPr>
              <w:t>，评审时间：</w:t>
            </w:r>
            <w:r>
              <w:rPr>
                <w:rFonts w:hint="eastAsia"/>
              </w:rPr>
              <w:t>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w:t>
            </w:r>
          </w:p>
          <w:p>
            <w:pPr>
              <w:spacing w:line="280" w:lineRule="exact"/>
              <w:ind w:firstLine="420" w:firstLineChars="200"/>
              <w:rPr>
                <w:rFonts w:hint="eastAsia" w:cs="宋体" w:asciiTheme="minorEastAsia" w:hAnsiTheme="minorEastAsia" w:eastAsiaTheme="minorEastAsia"/>
                <w:szCs w:val="21"/>
                <w:highlight w:val="none"/>
                <w:lang w:val="en-US" w:eastAsia="zh-CN"/>
              </w:rPr>
            </w:pPr>
            <w:r>
              <w:rPr>
                <w:rFonts w:hint="eastAsia" w:cs="宋体"/>
              </w:rPr>
              <w:t>评审情况均为符合发展要求。措施正在实施中。</w:t>
            </w:r>
          </w:p>
        </w:tc>
        <w:tc>
          <w:tcPr>
            <w:tcW w:w="760" w:type="dxa"/>
          </w:tcPr>
          <w:p>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07" w:type="dxa"/>
            <w:vAlign w:val="center"/>
          </w:tcPr>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措施的策划</w:t>
            </w:r>
          </w:p>
        </w:tc>
        <w:tc>
          <w:tcPr>
            <w:tcW w:w="1019" w:type="dxa"/>
            <w:vAlign w:val="center"/>
          </w:tcPr>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eastAsia="zh-CN"/>
              </w:rPr>
              <w:t>E</w:t>
            </w:r>
            <w:r>
              <w:rPr>
                <w:rFonts w:hint="eastAsia" w:cs="宋体" w:asciiTheme="minorEastAsia" w:hAnsiTheme="minorEastAsia" w:eastAsiaTheme="minorEastAsia"/>
                <w:szCs w:val="21"/>
              </w:rPr>
              <w:t xml:space="preserve"> 6.1.4</w:t>
            </w:r>
          </w:p>
        </w:tc>
        <w:tc>
          <w:tcPr>
            <w:tcW w:w="11223"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公司根据环境因素和危险源的风险辨识结果，分别制定出《重</w:t>
            </w:r>
            <w:r>
              <w:rPr>
                <w:rFonts w:hint="eastAsia" w:cs="宋体" w:asciiTheme="minorEastAsia" w:hAnsiTheme="minorEastAsia" w:eastAsiaTheme="minorEastAsia"/>
                <w:szCs w:val="21"/>
                <w:lang w:val="en-US" w:eastAsia="zh-CN"/>
              </w:rPr>
              <w:t>要</w:t>
            </w:r>
            <w:r>
              <w:rPr>
                <w:rFonts w:hint="eastAsia" w:cs="宋体" w:asciiTheme="minorEastAsia" w:hAnsiTheme="minorEastAsia" w:eastAsiaTheme="minorEastAsia"/>
                <w:szCs w:val="21"/>
              </w:rPr>
              <w:t>环境因素清单》、《不可接受风险清单》，清单内明确了控制措施计划，通过具体的措施进行有效控制：目标、管理方案、管理制度运行控制、应急预案、日常检查、日常培训。</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制定了《</w:t>
            </w:r>
            <w:r>
              <w:rPr>
                <w:rFonts w:hint="eastAsia" w:ascii="宋体" w:hAnsi="宋体" w:eastAsia="宋体" w:cs="宋体"/>
                <w:szCs w:val="24"/>
                <w:lang w:eastAsia="zh-CN"/>
              </w:rPr>
              <w:t>法律、法规及其他要求控制程序</w:t>
            </w:r>
            <w:r>
              <w:rPr>
                <w:rFonts w:hint="eastAsia" w:cs="宋体" w:asciiTheme="minorEastAsia" w:hAnsiTheme="minorEastAsia" w:eastAsiaTheme="minorEastAsia"/>
                <w:szCs w:val="21"/>
              </w:rPr>
              <w:t>》</w:t>
            </w:r>
            <w:r>
              <w:rPr>
                <w:rFonts w:hint="eastAsia" w:ascii="宋体" w:hAnsi="宋体" w:eastAsia="宋体" w:cs="宋体"/>
                <w:szCs w:val="24"/>
                <w:lang w:eastAsia="zh-CN"/>
              </w:rPr>
              <w:t>SXRD-EHS/CX-06-2020</w:t>
            </w:r>
            <w:r>
              <w:rPr>
                <w:rFonts w:hint="eastAsia" w:cs="宋体" w:asciiTheme="minorEastAsia" w:hAnsiTheme="minorEastAsia" w:eastAsiaTheme="minorEastAsia"/>
                <w:szCs w:val="21"/>
              </w:rPr>
              <w:t>，每年对公司适用的合规义务进行识别更新并定期评价、检查。</w:t>
            </w:r>
          </w:p>
          <w:p>
            <w:pPr>
              <w:ind w:left="357" w:leftChars="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经组织评价，组织策划的措施基本能够满足风险和机遇应对需要，在建立、实施、保持管理体系时应用了以上措施。</w:t>
            </w:r>
          </w:p>
        </w:tc>
        <w:tc>
          <w:tcPr>
            <w:tcW w:w="760" w:type="dxa"/>
          </w:tcPr>
          <w:p>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目标及其实现的策划</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lang w:eastAsia="zh-CN"/>
              </w:rPr>
              <w:t>E</w:t>
            </w: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rPr>
                <w:rFonts w:hint="eastAsia" w:cs="宋体"/>
              </w:rPr>
            </w:pPr>
            <w:r>
              <w:rPr>
                <w:rFonts w:hint="eastAsia" w:cs="宋体"/>
              </w:rPr>
              <w:t>公司环境目标指标：</w:t>
            </w:r>
          </w:p>
          <w:p>
            <w:pPr>
              <w:numPr>
                <w:ilvl w:val="0"/>
                <w:numId w:val="1"/>
              </w:numPr>
              <w:ind w:left="425" w:leftChars="0" w:hanging="425" w:firstLineChars="0"/>
              <w:rPr>
                <w:rFonts w:hint="eastAsia" w:ascii="宋体" w:hAnsi="宋体" w:eastAsia="宋体" w:cs="宋体"/>
                <w:szCs w:val="24"/>
                <w:lang w:eastAsia="zh-CN"/>
              </w:rPr>
            </w:pPr>
            <w:r>
              <w:rPr>
                <w:rFonts w:hint="eastAsia" w:ascii="宋体" w:hAnsi="宋体" w:eastAsia="宋体" w:cs="宋体"/>
                <w:szCs w:val="24"/>
                <w:lang w:val="en-US" w:eastAsia="zh-CN"/>
              </w:rPr>
              <w:t>环境污染事故为0</w:t>
            </w:r>
          </w:p>
          <w:p>
            <w:pPr>
              <w:numPr>
                <w:ilvl w:val="0"/>
                <w:numId w:val="1"/>
              </w:numPr>
              <w:ind w:left="425" w:leftChars="0" w:hanging="425" w:firstLineChars="0"/>
              <w:rPr>
                <w:rFonts w:hint="eastAsia" w:ascii="宋体" w:hAnsi="宋体" w:eastAsia="宋体" w:cs="宋体"/>
                <w:szCs w:val="24"/>
                <w:lang w:eastAsia="zh-CN"/>
              </w:rPr>
            </w:pPr>
            <w:r>
              <w:rPr>
                <w:rFonts w:hint="eastAsia" w:ascii="宋体" w:hAnsi="宋体" w:eastAsia="宋体" w:cs="宋体"/>
                <w:szCs w:val="24"/>
                <w:lang w:eastAsia="zh-CN"/>
              </w:rPr>
              <w:t>火灾事故为零</w:t>
            </w:r>
          </w:p>
          <w:p>
            <w:pPr>
              <w:numPr>
                <w:ilvl w:val="0"/>
                <w:numId w:val="1"/>
              </w:numPr>
              <w:ind w:left="425" w:leftChars="0" w:hanging="425" w:firstLineChars="0"/>
              <w:rPr>
                <w:rFonts w:hint="eastAsia" w:ascii="宋体" w:hAnsi="宋体" w:eastAsia="宋体" w:cs="宋体"/>
                <w:szCs w:val="24"/>
                <w:lang w:eastAsia="zh-CN"/>
              </w:rPr>
            </w:pPr>
            <w:r>
              <w:rPr>
                <w:rFonts w:hint="eastAsia" w:ascii="宋体" w:hAnsi="宋体" w:eastAsia="宋体" w:cs="宋体"/>
                <w:szCs w:val="24"/>
                <w:lang w:eastAsia="zh-CN"/>
              </w:rPr>
              <w:t>固体废弃物100%分类处理</w:t>
            </w:r>
          </w:p>
          <w:p>
            <w:pPr>
              <w:spacing w:line="280" w:lineRule="exact"/>
              <w:ind w:firstLine="420" w:firstLineChars="200"/>
              <w:rPr>
                <w:rFonts w:hint="eastAsia" w:cs="宋体" w:asciiTheme="minorEastAsia" w:hAnsiTheme="minorEastAsia" w:eastAsiaTheme="minorEastAsia"/>
                <w:szCs w:val="21"/>
                <w:highlight w:val="yellow"/>
              </w:rPr>
            </w:pPr>
            <w:r>
              <w:rPr>
                <w:rFonts w:hint="eastAsia" w:cs="宋体"/>
              </w:rPr>
              <w:t>对目标进行了分解，建立了各部门的分目标，每</w:t>
            </w:r>
            <w:r>
              <w:rPr>
                <w:rFonts w:hint="eastAsia" w:cs="宋体"/>
                <w:lang w:val="en-US" w:eastAsia="zh-CN"/>
              </w:rPr>
              <w:t>季度</w:t>
            </w:r>
            <w:r>
              <w:rPr>
                <w:rFonts w:hint="eastAsia" w:cs="宋体"/>
              </w:rPr>
              <w:t>进行</w:t>
            </w:r>
            <w:r>
              <w:rPr>
                <w:rFonts w:hint="eastAsia" w:cs="宋体"/>
                <w:lang w:val="en-US" w:eastAsia="zh-CN"/>
              </w:rPr>
              <w:t>一次</w:t>
            </w:r>
            <w:r>
              <w:rPr>
                <w:rFonts w:hint="eastAsia" w:cs="宋体"/>
              </w:rPr>
              <w:t>考核，查看“20</w:t>
            </w:r>
            <w:r>
              <w:rPr>
                <w:rFonts w:hint="eastAsia" w:cs="宋体"/>
                <w:lang w:val="en-US" w:eastAsia="zh-CN"/>
              </w:rPr>
              <w:t>21</w:t>
            </w:r>
            <w:r>
              <w:rPr>
                <w:rFonts w:hint="eastAsia" w:cs="宋体"/>
              </w:rPr>
              <w:t>年环境目标、指标完成情况考核记录”，见各部门考核情况。</w:t>
            </w:r>
          </w:p>
          <w:p>
            <w:pPr>
              <w:spacing w:line="280" w:lineRule="exact"/>
              <w:rPr>
                <w:rFonts w:hint="eastAsia" w:cs="宋体" w:asciiTheme="minorEastAsia" w:hAnsiTheme="minorEastAsia" w:eastAsiaTheme="minorEastAsia"/>
                <w:szCs w:val="21"/>
                <w:highlight w:val="yellow"/>
              </w:rPr>
            </w:pPr>
          </w:p>
          <w:p>
            <w:pPr>
              <w:spacing w:line="28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提供目标、指标及管理方案一览表</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审批：赵后荣</w:t>
            </w:r>
            <w:r>
              <w:rPr>
                <w:rFonts w:hint="eastAsia" w:cs="宋体" w:asciiTheme="minorEastAsia" w:hAnsiTheme="minorEastAsia" w:eastAsiaTheme="minorEastAsia"/>
                <w:szCs w:val="21"/>
              </w:rPr>
              <w:t xml:space="preserve">  202</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方案明确目标、指标、方案及检查方法、责任部门、资金预算 周期及完成日期</w:t>
            </w:r>
          </w:p>
          <w:p>
            <w:pPr>
              <w:ind w:firstLine="42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环境方案：2项   火灾和</w:t>
            </w:r>
            <w:r>
              <w:rPr>
                <w:rFonts w:hint="eastAsia" w:ascii="宋体" w:hAnsi="宋体"/>
              </w:rPr>
              <w:t>节能降</w:t>
            </w:r>
            <w:r>
              <w:rPr>
                <w:rFonts w:hint="eastAsia" w:ascii="宋体" w:hAnsi="宋体"/>
                <w:lang w:val="en-US" w:eastAsia="zh-CN"/>
              </w:rPr>
              <w:t>耗</w:t>
            </w:r>
            <w:r>
              <w:rPr>
                <w:rFonts w:hint="eastAsia" w:ascii="宋体" w:hAnsi="宋体"/>
              </w:rPr>
              <w:t>固废排放</w:t>
            </w:r>
            <w:r>
              <w:rPr>
                <w:rFonts w:hint="eastAsia" w:cs="宋体" w:asciiTheme="minorEastAsia" w:hAnsiTheme="minorEastAsia" w:eastAsiaTheme="minorEastAsia"/>
                <w:szCs w:val="21"/>
                <w:lang w:val="en-US" w:eastAsia="zh-CN"/>
              </w:rPr>
              <w:t>；</w:t>
            </w:r>
          </w:p>
          <w:p>
            <w:pPr>
              <w:spacing w:line="240" w:lineRule="auto"/>
              <w:ind w:firstLine="420" w:firstLineChars="200"/>
              <w:rPr>
                <w:rFonts w:hint="eastAsia" w:cs="宋体" w:asciiTheme="minorEastAsia" w:hAnsiTheme="minorEastAsia" w:eastAsiaTheme="minorEastAsia"/>
                <w:szCs w:val="21"/>
                <w:highlight w:val="yellow"/>
              </w:rPr>
            </w:pPr>
            <w:r>
              <w:rPr>
                <w:rFonts w:hint="eastAsia" w:cs="宋体" w:asciiTheme="minorEastAsia" w:hAnsiTheme="minorEastAsia" w:eastAsiaTheme="minorEastAsia"/>
                <w:szCs w:val="21"/>
                <w:highlight w:val="none"/>
                <w:lang w:val="en-US" w:eastAsia="zh-CN"/>
              </w:rPr>
              <w:t>明确负责各相关部门负责进行方案执行跟进，按方案执行。</w:t>
            </w:r>
            <w:r>
              <w:rPr>
                <w:rFonts w:hint="eastAsia" w:cs="宋体" w:asciiTheme="minorEastAsia" w:hAnsiTheme="minorEastAsia" w:eastAsiaTheme="minorEastAsia"/>
                <w:szCs w:val="21"/>
                <w:highlight w:val="yellow"/>
              </w:rPr>
              <w:drawing>
                <wp:inline distT="0" distB="0" distL="114300" distR="114300">
                  <wp:extent cx="6986270" cy="3350260"/>
                  <wp:effectExtent l="0" t="0" r="11430" b="2540"/>
                  <wp:docPr id="4" name="图片 4" descr="微信图片_2021090810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908105249"/>
                          <pic:cNvPicPr>
                            <a:picLocks noChangeAspect="1"/>
                          </pic:cNvPicPr>
                        </pic:nvPicPr>
                        <pic:blipFill>
                          <a:blip r:embed="rId6"/>
                          <a:stretch>
                            <a:fillRect/>
                          </a:stretch>
                        </pic:blipFill>
                        <pic:spPr>
                          <a:xfrm>
                            <a:off x="0" y="0"/>
                            <a:ext cx="6986270" cy="3350260"/>
                          </a:xfrm>
                          <a:prstGeom prst="rect">
                            <a:avLst/>
                          </a:prstGeom>
                        </pic:spPr>
                      </pic:pic>
                    </a:graphicData>
                  </a:graphic>
                </wp:inline>
              </w:drawing>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Arial" w:asciiTheme="minorEastAsia" w:hAnsiTheme="minorEastAsia" w:eastAsiaTheme="minorEastAsia"/>
                <w:spacing w:val="-6"/>
                <w:szCs w:val="24"/>
              </w:rPr>
            </w:pPr>
            <w:r>
              <w:rPr>
                <w:rFonts w:hint="eastAsia" w:ascii="宋体" w:hAnsi="宋体" w:cs="Arial"/>
                <w:spacing w:val="-6"/>
                <w:szCs w:val="21"/>
              </w:rPr>
              <w:t>资源总则</w:t>
            </w:r>
          </w:p>
        </w:tc>
        <w:tc>
          <w:tcPr>
            <w:tcW w:w="1019" w:type="dxa"/>
          </w:tcPr>
          <w:p>
            <w:pPr>
              <w:spacing w:line="280" w:lineRule="exact"/>
              <w:rPr>
                <w:rFonts w:cs="Arial" w:asciiTheme="minorEastAsia" w:hAnsiTheme="minorEastAsia" w:eastAsiaTheme="minorEastAsia"/>
                <w:spacing w:val="-6"/>
                <w:szCs w:val="24"/>
              </w:rPr>
            </w:pPr>
            <w:r>
              <w:rPr>
                <w:rFonts w:hint="eastAsia" w:asciiTheme="minorEastAsia" w:hAnsiTheme="minorEastAsia" w:eastAsiaTheme="minorEastAsia"/>
                <w:szCs w:val="21"/>
              </w:rPr>
              <w:t>E7.1</w:t>
            </w:r>
          </w:p>
        </w:tc>
        <w:tc>
          <w:tcPr>
            <w:tcW w:w="11223" w:type="dxa"/>
            <w:vAlign w:val="center"/>
          </w:tcPr>
          <w:p>
            <w:r>
              <w:rPr>
                <w:rFonts w:hint="eastAsia" w:cs="宋体"/>
              </w:rPr>
              <w:t>公司为了实施管理体系并持续改进其有效性，增强顾客满意度，提供了各方面的资源保证。</w:t>
            </w:r>
          </w:p>
          <w:p>
            <w:pPr>
              <w:rPr>
                <w:rFonts w:hint="default" w:ascii="Times New Roman" w:hAnsi="Times New Roman" w:cs="Times New Roman"/>
                <w:sz w:val="21"/>
                <w:szCs w:val="21"/>
              </w:rPr>
            </w:pPr>
            <w:r>
              <w:rPr>
                <w:rFonts w:hint="default" w:ascii="Times New Roman" w:hAnsi="Times New Roman" w:cs="Times New Roman"/>
                <w:sz w:val="21"/>
                <w:szCs w:val="21"/>
              </w:rPr>
              <w:t>a. 人力资源：职工队伍相对稳定，均在同行业工作</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年以上，实践经验丰富；</w:t>
            </w:r>
          </w:p>
          <w:p>
            <w:pPr>
              <w:rPr>
                <w:rFonts w:hint="default" w:ascii="Times New Roman" w:hAnsi="Times New Roman" w:cs="Times New Roman"/>
                <w:sz w:val="21"/>
                <w:szCs w:val="21"/>
              </w:rPr>
            </w:pPr>
            <w:r>
              <w:rPr>
                <w:rFonts w:hint="default" w:ascii="Times New Roman" w:hAnsi="Times New Roman" w:cs="Times New Roman"/>
                <w:sz w:val="21"/>
                <w:szCs w:val="21"/>
              </w:rPr>
              <w:t>b. 基础设施：</w:t>
            </w:r>
            <w:r>
              <w:rPr>
                <w:rFonts w:hint="eastAsia" w:ascii="Times New Roman" w:hAnsi="Times New Roman" w:cs="Times New Roman"/>
                <w:sz w:val="21"/>
                <w:szCs w:val="21"/>
                <w:lang w:val="en-US" w:eastAsia="zh-CN"/>
              </w:rPr>
              <w:t>办公室</w:t>
            </w:r>
            <w:r>
              <w:rPr>
                <w:rFonts w:hint="default" w:ascii="Times New Roman" w:hAnsi="Times New Roman" w:cs="Times New Roman"/>
                <w:sz w:val="21"/>
                <w:szCs w:val="21"/>
              </w:rPr>
              <w:t>、</w:t>
            </w:r>
            <w:r>
              <w:rPr>
                <w:rFonts w:hint="eastAsia" w:cs="Times New Roman"/>
                <w:sz w:val="21"/>
                <w:szCs w:val="21"/>
                <w:lang w:val="en-US" w:eastAsia="zh-CN"/>
              </w:rPr>
              <w:t>冷藏间</w:t>
            </w:r>
            <w:r>
              <w:rPr>
                <w:rFonts w:hint="default" w:ascii="Times New Roman" w:hAnsi="Times New Roman" w:cs="Times New Roman"/>
                <w:sz w:val="21"/>
                <w:szCs w:val="21"/>
              </w:rPr>
              <w:t>，主要设施：</w:t>
            </w:r>
            <w:r>
              <w:rPr>
                <w:rFonts w:hint="eastAsia" w:cs="Times New Roman"/>
                <w:sz w:val="21"/>
                <w:szCs w:val="21"/>
                <w:lang w:val="en-US" w:eastAsia="zh-CN"/>
              </w:rPr>
              <w:t>消防栓、</w:t>
            </w:r>
            <w:r>
              <w:rPr>
                <w:rFonts w:hint="eastAsia" w:ascii="Times New Roman" w:hAnsi="Times New Roman" w:cs="Times New Roman"/>
                <w:sz w:val="21"/>
                <w:szCs w:val="21"/>
                <w:lang w:val="en-US" w:eastAsia="zh-CN"/>
              </w:rPr>
              <w:t xml:space="preserve"> 手提灭火器</w:t>
            </w:r>
            <w:r>
              <w:rPr>
                <w:rFonts w:hint="default" w:ascii="Times New Roman" w:hAnsi="Times New Roman" w:cs="Times New Roman"/>
                <w:sz w:val="21"/>
                <w:szCs w:val="21"/>
              </w:rPr>
              <w:t>；</w:t>
            </w:r>
          </w:p>
          <w:p>
            <w:pPr>
              <w:rPr>
                <w:rFonts w:hint="default" w:ascii="Times New Roman" w:hAnsi="Times New Roman" w:cs="Times New Roman"/>
                <w:sz w:val="21"/>
                <w:szCs w:val="21"/>
              </w:rPr>
            </w:pPr>
            <w:r>
              <w:rPr>
                <w:rFonts w:hint="default" w:ascii="Times New Roman" w:hAnsi="Times New Roman" w:cs="Times New Roman"/>
                <w:sz w:val="21"/>
                <w:szCs w:val="21"/>
              </w:rPr>
              <w:t>c. 工作环境：</w:t>
            </w:r>
            <w:r>
              <w:rPr>
                <w:rFonts w:hint="eastAsia" w:cs="Times New Roman"/>
                <w:sz w:val="21"/>
                <w:szCs w:val="21"/>
                <w:lang w:val="en-US" w:eastAsia="zh-CN"/>
              </w:rPr>
              <w:t>厂区总面积4079</w:t>
            </w:r>
            <w:r>
              <w:rPr>
                <w:rFonts w:hint="default" w:ascii="Times New Roman" w:hAnsi="Times New Roman" w:cs="Times New Roman"/>
                <w:sz w:val="21"/>
                <w:szCs w:val="21"/>
              </w:rPr>
              <w:t>平米；布局合理，场所卫生干净整洁，工作环境良好</w:t>
            </w:r>
          </w:p>
          <w:p>
            <w:r>
              <w:rPr>
                <w:rFonts w:hint="default" w:ascii="Times New Roman" w:hAnsi="Times New Roman" w:cs="Times New Roman"/>
                <w:sz w:val="21"/>
                <w:szCs w:val="21"/>
              </w:rPr>
              <w:t>d. 资金支持：注册资金</w:t>
            </w:r>
            <w:r>
              <w:rPr>
                <w:rFonts w:hint="eastAsia" w:ascii="Times New Roman" w:hAnsi="Times New Roman" w:cs="Times New Roman"/>
                <w:sz w:val="21"/>
                <w:szCs w:val="21"/>
                <w:lang w:val="en-US" w:eastAsia="zh-CN"/>
              </w:rPr>
              <w:t>1200</w:t>
            </w:r>
            <w:r>
              <w:rPr>
                <w:rFonts w:hint="default" w:ascii="Times New Roman" w:hAnsi="Times New Roman" w:cs="Times New Roman"/>
                <w:sz w:val="21"/>
                <w:szCs w:val="21"/>
              </w:rPr>
              <w:t>万元</w:t>
            </w:r>
            <w:r>
              <w:rPr>
                <w:rFonts w:hint="eastAsia" w:ascii="Times New Roman" w:hAnsi="Times New Roman" w:cs="Times New Roman"/>
                <w:sz w:val="21"/>
                <w:szCs w:val="21"/>
              </w:rPr>
              <w:t>。</w:t>
            </w:r>
          </w:p>
          <w:p>
            <w:pPr>
              <w:spacing w:line="280" w:lineRule="exact"/>
              <w:ind w:firstLine="420" w:firstLineChars="200"/>
              <w:rPr>
                <w:rFonts w:asciiTheme="minorEastAsia" w:hAnsiTheme="minorEastAsia" w:eastAsiaTheme="minorEastAsia"/>
                <w:szCs w:val="21"/>
              </w:rPr>
            </w:pPr>
            <w:r>
              <w:rPr>
                <w:rFonts w:hint="eastAsia" w:cs="宋体"/>
              </w:rPr>
              <w:t>能够满足</w:t>
            </w:r>
            <w:r>
              <w:rPr>
                <w:rFonts w:hint="eastAsia" w:cs="宋体"/>
                <w:lang w:val="en-US" w:eastAsia="zh-CN"/>
              </w:rPr>
              <w:t>销售</w:t>
            </w:r>
            <w:r>
              <w:rPr>
                <w:rFonts w:hint="eastAsia" w:cs="宋体"/>
              </w:rPr>
              <w:t>服务需要。</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Theme="minorEastAsia" w:hAnsiTheme="minorEastAsia" w:eastAsiaTheme="minorEastAsia"/>
              </w:rPr>
            </w:pPr>
            <w:r>
              <w:rPr>
                <w:rFonts w:hint="eastAsia" w:ascii="宋体" w:hAnsi="宋体" w:cs="新宋体"/>
                <w:sz w:val="18"/>
                <w:szCs w:val="18"/>
              </w:rPr>
              <w:t>监测、分析和评估总则</w:t>
            </w:r>
          </w:p>
        </w:tc>
        <w:tc>
          <w:tcPr>
            <w:tcW w:w="1019" w:type="dxa"/>
          </w:tcPr>
          <w:p>
            <w:pPr>
              <w:spacing w:line="280" w:lineRule="exac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E9.1.1</w:t>
            </w:r>
          </w:p>
        </w:tc>
        <w:tc>
          <w:tcPr>
            <w:tcW w:w="11223" w:type="dxa"/>
            <w:vAlign w:val="center"/>
          </w:tcPr>
          <w:p>
            <w:r>
              <w:rPr>
                <w:rFonts w:hint="eastAsia" w:cs="宋体"/>
              </w:rPr>
              <w:t>组织策划了对绩效的监视和测量，对绩效的分析和评价，对事项进行汇报的程序等。保留了必要的记录文件。</w:t>
            </w:r>
          </w:p>
          <w:p>
            <w:pPr>
              <w:ind w:firstLine="420" w:firstLineChars="200"/>
              <w:rPr>
                <w:rFonts w:hint="eastAsia" w:asciiTheme="minorEastAsia" w:hAnsiTheme="minorEastAsia" w:eastAsiaTheme="minorEastAsia"/>
                <w:szCs w:val="21"/>
                <w:lang w:val="en-US" w:eastAsia="zh-CN"/>
              </w:rPr>
            </w:pPr>
            <w:r>
              <w:rPr>
                <w:rFonts w:hint="eastAsia" w:cs="宋体"/>
              </w:rPr>
              <w:t>公司通过管理评审和内部审核，以及定期的目标考核，对发现的问题采取纠正和必要的纠正措施，确保管理体系绩效和有效性。</w:t>
            </w:r>
          </w:p>
        </w:tc>
        <w:tc>
          <w:tcPr>
            <w:tcW w:w="760" w:type="dxa"/>
          </w:tcPr>
          <w:p>
            <w:pPr>
              <w:spacing w:line="320" w:lineRule="exact"/>
              <w:rPr>
                <w:rFonts w:hint="eastAsia"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lang w:eastAsia="zh-CN"/>
              </w:rPr>
              <w:t>E</w:t>
            </w: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公司建立并实施《管</w:t>
            </w:r>
            <w:r>
              <w:rPr>
                <w:rFonts w:hint="eastAsia" w:asciiTheme="minorEastAsia" w:hAnsiTheme="minorEastAsia" w:eastAsiaTheme="minorEastAsia"/>
                <w:szCs w:val="21"/>
                <w:highlight w:val="none"/>
              </w:rPr>
              <w:t>理评审程序》</w:t>
            </w:r>
            <w:r>
              <w:rPr>
                <w:rFonts w:hint="eastAsia" w:ascii="宋体" w:hAnsi="宋体" w:eastAsia="宋体" w:cs="宋体"/>
                <w:szCs w:val="24"/>
                <w:lang w:eastAsia="zh-CN"/>
              </w:rPr>
              <w:t>SXRD-EHS/CX-18-2020</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rPr>
              <w:t>规定管理评审每年进行一次，由总经理决定是否增加管理评审的频次，间隔不超过12个月。</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查阅公司管理评审资料，提供：</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1.管理评审计划</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评审时间：2021年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日进行， 评审方式：会议评审，编制：</w:t>
            </w:r>
            <w:r>
              <w:rPr>
                <w:rFonts w:hint="eastAsia" w:asciiTheme="minorEastAsia" w:hAnsiTheme="minorEastAsia" w:eastAsiaTheme="minorEastAsia"/>
                <w:szCs w:val="21"/>
                <w:lang w:val="en-US" w:eastAsia="zh-CN"/>
              </w:rPr>
              <w:t>刘训萍</w:t>
            </w:r>
            <w:r>
              <w:rPr>
                <w:rFonts w:hint="eastAsia" w:asciiTheme="minorEastAsia" w:hAnsiTheme="minorEastAsia" w:eastAsiaTheme="minorEastAsia"/>
                <w:szCs w:val="21"/>
              </w:rPr>
              <w:t>、批</w:t>
            </w:r>
            <w:r>
              <w:rPr>
                <w:rFonts w:hint="eastAsia" w:asciiTheme="minorEastAsia" w:hAnsiTheme="minorEastAsia" w:eastAsiaTheme="minorEastAsia"/>
                <w:szCs w:val="21"/>
                <w:lang w:val="en-US" w:eastAsia="zh-CN"/>
              </w:rPr>
              <w:t>准：赵后荣</w:t>
            </w:r>
            <w:r>
              <w:rPr>
                <w:rFonts w:hint="eastAsia" w:asciiTheme="minorEastAsia" w:hAnsiTheme="minorEastAsia" w:eastAsiaTheme="minorEastAsia"/>
                <w:szCs w:val="21"/>
              </w:rPr>
              <w:t>， 参加人员包括公司总经理、管理者代表、各部门负责人，计划中明确了评审内容和资料准备要求。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2.管理评审会议实施：有签到、记录、评审资料</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计划的时间实施了管理评审，管理评审输入管理者代表、各部门报告，包含：管理方针、目标的适宜行和实现情况；管理体系的符合性；内审结果；内外部环境分析及风险应对措施的落实情况；纠正预防措施及持续改进能力；重要环境因素和重大危险源控制及效果；合规性评价；可能影响管理体系的变更；质量环境职业健康安全事故、顾客满意度及改进建议，变更管理要求、以往管理评审情况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3.管理评审报告：评审目的、评审内容、评审时间、参加人员、管理评审综述和结论；</w:t>
            </w:r>
          </w:p>
          <w:p>
            <w:pPr>
              <w:spacing w:line="280" w:lineRule="exact"/>
              <w:ind w:left="420" w:leftChars="200" w:firstLine="0" w:firstLineChars="0"/>
              <w:rPr>
                <w:rFonts w:asciiTheme="minorEastAsia" w:hAnsiTheme="minorEastAsia" w:eastAsiaTheme="minorEastAsia"/>
                <w:szCs w:val="21"/>
              </w:rPr>
            </w:pPr>
            <w:r>
              <w:rPr>
                <w:rFonts w:hint="eastAsia" w:asciiTheme="minorEastAsia" w:hAnsiTheme="minorEastAsia" w:eastAsiaTheme="minorEastAsia"/>
                <w:szCs w:val="21"/>
              </w:rPr>
              <w:t>结论：</w:t>
            </w:r>
            <w:r>
              <w:rPr>
                <w:rFonts w:hint="eastAsia" w:ascii="宋体" w:hAnsi="宋体" w:eastAsia="宋体"/>
                <w:color w:val="auto"/>
              </w:rPr>
              <w:t>公司的</w:t>
            </w:r>
            <w:r>
              <w:rPr>
                <w:rFonts w:hint="eastAsia" w:ascii="宋体" w:hAnsi="宋体"/>
                <w:color w:val="auto"/>
                <w:lang w:eastAsia="zh-CN"/>
              </w:rPr>
              <w:t>环境</w:t>
            </w:r>
            <w:r>
              <w:rPr>
                <w:rFonts w:hint="eastAsia" w:ascii="宋体" w:hAnsi="宋体" w:eastAsia="宋体"/>
                <w:color w:val="auto"/>
              </w:rPr>
              <w:t>方针是适宜的，</w:t>
            </w:r>
            <w:r>
              <w:rPr>
                <w:rFonts w:ascii="宋体" w:hAnsi="宋体" w:eastAsia="宋体"/>
                <w:color w:val="auto"/>
              </w:rPr>
              <w:t>公司制定的</w:t>
            </w:r>
            <w:r>
              <w:rPr>
                <w:rFonts w:hint="eastAsia" w:ascii="宋体" w:hAnsi="宋体"/>
                <w:color w:val="auto"/>
                <w:lang w:eastAsia="zh-CN"/>
              </w:rPr>
              <w:t>环境</w:t>
            </w:r>
            <w:r>
              <w:rPr>
                <w:rFonts w:hint="eastAsia" w:ascii="宋体" w:hAnsi="宋体" w:eastAsia="宋体"/>
                <w:color w:val="auto"/>
              </w:rPr>
              <w:t>管理体系</w:t>
            </w:r>
            <w:r>
              <w:rPr>
                <w:rFonts w:ascii="宋体" w:hAnsi="宋体" w:eastAsia="宋体"/>
                <w:color w:val="auto"/>
              </w:rPr>
              <w:t>符合</w:t>
            </w:r>
            <w:r>
              <w:rPr>
                <w:rFonts w:hint="eastAsia" w:ascii="Times New Roman" w:hAnsi="Times New Roman" w:eastAsia="宋体"/>
                <w:color w:val="auto"/>
                <w:kern w:val="2"/>
                <w:sz w:val="21"/>
                <w:szCs w:val="21"/>
              </w:rPr>
              <w:t>GB/T24001-2016、GB/T 45001-2020</w:t>
            </w:r>
            <w:r>
              <w:rPr>
                <w:rFonts w:hint="eastAsia" w:ascii="宋体" w:hAnsi="宋体" w:eastAsia="宋体"/>
                <w:color w:val="auto"/>
              </w:rPr>
              <w:t>标准</w:t>
            </w:r>
            <w:r>
              <w:rPr>
                <w:rFonts w:ascii="宋体" w:hAnsi="宋体" w:eastAsia="宋体"/>
                <w:color w:val="auto"/>
              </w:rPr>
              <w:t>要求，适用于当前公司的状况</w:t>
            </w:r>
            <w:r>
              <w:rPr>
                <w:rFonts w:hint="eastAsia" w:ascii="宋体" w:hAnsi="宋体" w:eastAsia="宋体"/>
                <w:color w:val="auto"/>
              </w:rPr>
              <w:t>，是适宜的、充分的和有效的</w:t>
            </w:r>
            <w:r>
              <w:rPr>
                <w:rFonts w:ascii="宋体" w:hAnsi="宋体" w:eastAsia="宋体"/>
                <w:color w:val="auto"/>
              </w:rPr>
              <w:t>。</w:t>
            </w:r>
            <w:r>
              <w:rPr>
                <w:rFonts w:hint="eastAsia" w:ascii="宋体" w:hAnsi="宋体" w:eastAsia="宋体"/>
                <w:color w:val="auto"/>
              </w:rPr>
              <w:t>现有的</w:t>
            </w:r>
            <w:r>
              <w:rPr>
                <w:rFonts w:ascii="宋体" w:hAnsi="宋体" w:eastAsia="宋体"/>
                <w:color w:val="auto"/>
              </w:rPr>
              <w:t>组织架构</w:t>
            </w:r>
            <w:r>
              <w:rPr>
                <w:rFonts w:hint="eastAsia" w:ascii="宋体" w:hAnsi="宋体" w:eastAsia="宋体"/>
                <w:color w:val="auto"/>
              </w:rPr>
              <w:t>符合公司的运行管理</w:t>
            </w:r>
            <w:r>
              <w:rPr>
                <w:rFonts w:ascii="宋体" w:hAnsi="宋体" w:eastAsia="宋体"/>
                <w:color w:val="auto"/>
              </w:rPr>
              <w:t>。</w:t>
            </w:r>
            <w:r>
              <w:rPr>
                <w:rFonts w:hint="eastAsia" w:ascii="宋体" w:hAnsi="宋体" w:eastAsia="宋体"/>
                <w:color w:val="auto"/>
              </w:rPr>
              <w:t>客户和</w:t>
            </w:r>
            <w:r>
              <w:rPr>
                <w:rFonts w:ascii="宋体" w:hAnsi="宋体" w:eastAsia="宋体"/>
                <w:color w:val="auto"/>
              </w:rPr>
              <w:t>相关方对公司的</w:t>
            </w:r>
            <w:r>
              <w:rPr>
                <w:rFonts w:hint="eastAsia" w:ascii="宋体" w:hAnsi="宋体"/>
                <w:color w:val="auto"/>
                <w:lang w:eastAsia="zh-CN"/>
              </w:rPr>
              <w:t>环境</w:t>
            </w:r>
            <w:r>
              <w:rPr>
                <w:rFonts w:hint="eastAsia" w:ascii="宋体" w:hAnsi="宋体" w:eastAsia="宋体"/>
                <w:color w:val="auto"/>
              </w:rPr>
              <w:t>管理</w:t>
            </w:r>
            <w:r>
              <w:rPr>
                <w:rFonts w:ascii="宋体" w:hAnsi="宋体" w:eastAsia="宋体"/>
                <w:color w:val="auto"/>
              </w:rPr>
              <w:t>满意，公司将加大管理创新力度，争取超越</w:t>
            </w:r>
            <w:r>
              <w:rPr>
                <w:rFonts w:hint="eastAsia" w:ascii="宋体" w:hAnsi="宋体" w:eastAsia="宋体"/>
                <w:color w:val="auto"/>
              </w:rPr>
              <w:t>顾客和</w:t>
            </w:r>
            <w:r>
              <w:rPr>
                <w:rFonts w:ascii="宋体" w:hAnsi="宋体" w:eastAsia="宋体"/>
                <w:color w:val="auto"/>
              </w:rPr>
              <w:t>相关方的期望。审核思路的变化可以更有效的保证审核的广度和深度，纠正预防措施实施良好。</w:t>
            </w:r>
            <w:r>
              <w:rPr>
                <w:rFonts w:hint="eastAsia" w:ascii="宋体" w:hAnsi="宋体"/>
                <w:color w:val="auto"/>
                <w:lang w:eastAsia="zh-CN"/>
              </w:rPr>
              <w:t>综合办</w:t>
            </w:r>
            <w:r>
              <w:rPr>
                <w:rFonts w:ascii="宋体" w:hAnsi="宋体" w:eastAsia="宋体"/>
                <w:color w:val="auto"/>
              </w:rPr>
              <w:t>已对公司相关的环境规律重新进行了登录和查核。公司目前的活动、服务符合涉及的相关</w:t>
            </w:r>
            <w:r>
              <w:rPr>
                <w:rFonts w:hint="eastAsia" w:ascii="宋体" w:hAnsi="宋体"/>
                <w:color w:val="auto"/>
                <w:lang w:eastAsia="zh-CN"/>
              </w:rPr>
              <w:t>环境</w:t>
            </w:r>
            <w:r>
              <w:rPr>
                <w:rFonts w:hint="eastAsia" w:ascii="宋体" w:hAnsi="宋体" w:eastAsia="宋体"/>
                <w:color w:val="auto"/>
              </w:rPr>
              <w:t>管理</w:t>
            </w:r>
            <w:r>
              <w:rPr>
                <w:rFonts w:ascii="宋体" w:hAnsi="宋体" w:eastAsia="宋体"/>
                <w:color w:val="auto"/>
              </w:rPr>
              <w:t>法律法规的条款。在严格的管理下，没有发生重大</w:t>
            </w:r>
            <w:r>
              <w:rPr>
                <w:rFonts w:hint="eastAsia" w:ascii="宋体" w:hAnsi="宋体"/>
                <w:color w:val="auto"/>
                <w:lang w:eastAsia="zh-CN"/>
              </w:rPr>
              <w:t>环境</w:t>
            </w:r>
            <w:r>
              <w:rPr>
                <w:rFonts w:ascii="宋体" w:hAnsi="宋体" w:eastAsia="宋体"/>
                <w:color w:val="auto"/>
              </w:rPr>
              <w:t>事故。体系是有效的，</w:t>
            </w:r>
            <w:r>
              <w:rPr>
                <w:rFonts w:hint="eastAsia" w:ascii="宋体" w:hAnsi="宋体"/>
                <w:color w:val="auto"/>
                <w:lang w:eastAsia="zh-CN"/>
              </w:rPr>
              <w:t>环境</w:t>
            </w:r>
            <w:r>
              <w:rPr>
                <w:rFonts w:ascii="宋体" w:hAnsi="宋体" w:eastAsia="宋体"/>
                <w:color w:val="auto"/>
              </w:rPr>
              <w:t>绩效良好。</w:t>
            </w:r>
          </w:p>
          <w:p>
            <w:pPr>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提出改进建议落实各部门要求尽快完成。</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lang w:eastAsia="zh-CN"/>
              </w:rPr>
              <w:t>E</w:t>
            </w:r>
            <w:r>
              <w:rPr>
                <w:rFonts w:hint="eastAsia" w:asciiTheme="minorEastAsia" w:hAnsiTheme="minorEastAsia" w:eastAsiaTheme="minorEastAsia"/>
                <w:szCs w:val="21"/>
              </w:rPr>
              <w:t xml:space="preserve"> 10.1</w:t>
            </w: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pPr>
              <w:spacing w:line="280" w:lineRule="exact"/>
              <w:ind w:firstLine="420" w:firstLineChars="200"/>
              <w:rPr>
                <w:rFonts w:asciiTheme="minorEastAsia" w:hAnsiTheme="minorEastAsia" w:eastAsiaTheme="minorEastAsia"/>
              </w:rPr>
            </w:pPr>
            <w:r>
              <w:rPr>
                <w:rFonts w:hint="eastAsia" w:cs="宋体" w:asciiTheme="minorEastAsia" w:hAnsiTheme="minorEastAsia" w:eastAsiaTheme="minorEastAsia"/>
                <w:szCs w:val="21"/>
              </w:rPr>
              <w:t>包括改进产品和服务，纠正、预防或减少不利影响，改进体系绩效和有效性。</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持续改进</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lang w:eastAsia="zh-CN"/>
              </w:rPr>
              <w:t>E</w:t>
            </w:r>
            <w:r>
              <w:rPr>
                <w:rFonts w:hint="eastAsia" w:asciiTheme="minorEastAsia" w:hAnsiTheme="minorEastAsia" w:eastAsiaTheme="minorEastAsia"/>
                <w:szCs w:val="21"/>
              </w:rPr>
              <w:t xml:space="preserve"> 10.3</w:t>
            </w:r>
          </w:p>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 xml:space="preserve">  公司开展检查和考核工作、自查自纠及外部检查等形式，不断持续改进，提高顾客满意和环保绩效，持续改进管理体系的适宜性、充分性和有效性。详见相关条款审核记录。</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bl>
    <w:p>
      <w:pPr>
        <w:jc w:val="left"/>
        <w:rPr>
          <w:rFonts w:asciiTheme="minorEastAsia" w:hAnsiTheme="minorEastAsia" w:eastAsiaTheme="minorEastAsia"/>
        </w:rPr>
      </w:pPr>
      <w:r>
        <w:rPr>
          <w:rFonts w:hint="eastAsia" w:asciiTheme="minorEastAsia" w:hAnsiTheme="minorEastAsia" w:eastAsiaTheme="minorEastAsia"/>
        </w:rPr>
        <w:t>说明：不符合标注N</w:t>
      </w:r>
    </w:p>
    <w:p>
      <w:pPr>
        <w:pStyle w:val="8"/>
        <w:rPr>
          <w:rFonts w:asciiTheme="minorEastAsia" w:hAnsiTheme="minorEastAsia" w:eastAsiaTheme="minorEastAsia"/>
        </w:rPr>
      </w:pPr>
    </w:p>
    <w:p>
      <w:pPr>
        <w:pStyle w:val="8"/>
        <w:rPr>
          <w:rFonts w:asciiTheme="minorEastAsia" w:hAnsiTheme="minorEastAsia" w:eastAsiaTheme="minorEastAsia"/>
        </w:rPr>
      </w:pPr>
    </w:p>
    <w:p>
      <w:pPr>
        <w:pStyle w:val="8"/>
        <w:rPr>
          <w:rFonts w:asciiTheme="minorEastAsia" w:hAnsiTheme="minorEastAsia" w:eastAsiaTheme="minor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7"/>
        <w:rFonts w:hint="default"/>
      </w:rPr>
      <w:t xml:space="preserve">        </w:t>
    </w:r>
    <w:r>
      <w:rPr>
        <w:rStyle w:val="17"/>
        <w:rFonts w:hint="default"/>
        <w:w w:val="90"/>
      </w:rPr>
      <w:t>Beijing International Otandard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4B805"/>
    <w:multiLevelType w:val="singleLevel"/>
    <w:tmpl w:val="FCD4B80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3336"/>
    <w:rsid w:val="000333A2"/>
    <w:rsid w:val="0003373A"/>
    <w:rsid w:val="00046911"/>
    <w:rsid w:val="00046C5E"/>
    <w:rsid w:val="00051DBB"/>
    <w:rsid w:val="000533B7"/>
    <w:rsid w:val="000545F3"/>
    <w:rsid w:val="00061775"/>
    <w:rsid w:val="00066794"/>
    <w:rsid w:val="00075039"/>
    <w:rsid w:val="000753A8"/>
    <w:rsid w:val="00075451"/>
    <w:rsid w:val="00077C91"/>
    <w:rsid w:val="00096B85"/>
    <w:rsid w:val="00097899"/>
    <w:rsid w:val="000A0B92"/>
    <w:rsid w:val="000A37D6"/>
    <w:rsid w:val="000B731C"/>
    <w:rsid w:val="000B7933"/>
    <w:rsid w:val="000C09F5"/>
    <w:rsid w:val="000C2C4B"/>
    <w:rsid w:val="000D19F5"/>
    <w:rsid w:val="000D311D"/>
    <w:rsid w:val="000D3FA8"/>
    <w:rsid w:val="000D67A5"/>
    <w:rsid w:val="000E231C"/>
    <w:rsid w:val="000E4D68"/>
    <w:rsid w:val="000F5929"/>
    <w:rsid w:val="00100DCD"/>
    <w:rsid w:val="00103E45"/>
    <w:rsid w:val="001127A2"/>
    <w:rsid w:val="00115E95"/>
    <w:rsid w:val="001359C9"/>
    <w:rsid w:val="00140386"/>
    <w:rsid w:val="00142E83"/>
    <w:rsid w:val="0015029E"/>
    <w:rsid w:val="0015730C"/>
    <w:rsid w:val="00164D22"/>
    <w:rsid w:val="00166CF6"/>
    <w:rsid w:val="00170A8A"/>
    <w:rsid w:val="0017683D"/>
    <w:rsid w:val="00183DC1"/>
    <w:rsid w:val="0019177B"/>
    <w:rsid w:val="001919D5"/>
    <w:rsid w:val="00192F07"/>
    <w:rsid w:val="00194234"/>
    <w:rsid w:val="001A2D7F"/>
    <w:rsid w:val="001A7935"/>
    <w:rsid w:val="001B15F1"/>
    <w:rsid w:val="001B5577"/>
    <w:rsid w:val="001B78C4"/>
    <w:rsid w:val="001D660E"/>
    <w:rsid w:val="001E1513"/>
    <w:rsid w:val="001E4832"/>
    <w:rsid w:val="001F346F"/>
    <w:rsid w:val="001F5605"/>
    <w:rsid w:val="00203613"/>
    <w:rsid w:val="00223FF3"/>
    <w:rsid w:val="00231B66"/>
    <w:rsid w:val="00252D43"/>
    <w:rsid w:val="00262CAF"/>
    <w:rsid w:val="00264460"/>
    <w:rsid w:val="002776E7"/>
    <w:rsid w:val="00285D7E"/>
    <w:rsid w:val="00287C9F"/>
    <w:rsid w:val="00292B15"/>
    <w:rsid w:val="002B4347"/>
    <w:rsid w:val="002B435B"/>
    <w:rsid w:val="002B6C2A"/>
    <w:rsid w:val="002B7B83"/>
    <w:rsid w:val="002E6CA1"/>
    <w:rsid w:val="002E7040"/>
    <w:rsid w:val="002E76FB"/>
    <w:rsid w:val="002F7C6D"/>
    <w:rsid w:val="00306E61"/>
    <w:rsid w:val="00314580"/>
    <w:rsid w:val="00322EA7"/>
    <w:rsid w:val="00334A10"/>
    <w:rsid w:val="00334C0C"/>
    <w:rsid w:val="00337922"/>
    <w:rsid w:val="00340867"/>
    <w:rsid w:val="00346079"/>
    <w:rsid w:val="003736F9"/>
    <w:rsid w:val="00380837"/>
    <w:rsid w:val="003817EB"/>
    <w:rsid w:val="00383CCB"/>
    <w:rsid w:val="00385E5E"/>
    <w:rsid w:val="003A198A"/>
    <w:rsid w:val="003A1EE9"/>
    <w:rsid w:val="003A7FBC"/>
    <w:rsid w:val="003C0A70"/>
    <w:rsid w:val="003C6BAD"/>
    <w:rsid w:val="003D2C37"/>
    <w:rsid w:val="003E5236"/>
    <w:rsid w:val="003E6AF2"/>
    <w:rsid w:val="003E7888"/>
    <w:rsid w:val="004028A5"/>
    <w:rsid w:val="00403E03"/>
    <w:rsid w:val="00404142"/>
    <w:rsid w:val="00410914"/>
    <w:rsid w:val="00414948"/>
    <w:rsid w:val="004336AB"/>
    <w:rsid w:val="00435BD2"/>
    <w:rsid w:val="0043778E"/>
    <w:rsid w:val="004448A8"/>
    <w:rsid w:val="004454CD"/>
    <w:rsid w:val="004807FE"/>
    <w:rsid w:val="00487BAB"/>
    <w:rsid w:val="00491F9E"/>
    <w:rsid w:val="004A681B"/>
    <w:rsid w:val="004B095E"/>
    <w:rsid w:val="004B10FD"/>
    <w:rsid w:val="004B20B0"/>
    <w:rsid w:val="004C3DBA"/>
    <w:rsid w:val="004C5CE9"/>
    <w:rsid w:val="004D05B0"/>
    <w:rsid w:val="004D3389"/>
    <w:rsid w:val="004D532C"/>
    <w:rsid w:val="004D6DA4"/>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D488A"/>
    <w:rsid w:val="005D4F59"/>
    <w:rsid w:val="005E39EA"/>
    <w:rsid w:val="005E486D"/>
    <w:rsid w:val="005E4BB2"/>
    <w:rsid w:val="006017B5"/>
    <w:rsid w:val="0060453B"/>
    <w:rsid w:val="00610889"/>
    <w:rsid w:val="00617BF7"/>
    <w:rsid w:val="00627710"/>
    <w:rsid w:val="00632336"/>
    <w:rsid w:val="00633C40"/>
    <w:rsid w:val="00636CCC"/>
    <w:rsid w:val="00642669"/>
    <w:rsid w:val="00644FE2"/>
    <w:rsid w:val="00645136"/>
    <w:rsid w:val="00653D06"/>
    <w:rsid w:val="00656362"/>
    <w:rsid w:val="00665260"/>
    <w:rsid w:val="006736CD"/>
    <w:rsid w:val="0067640C"/>
    <w:rsid w:val="00680F5C"/>
    <w:rsid w:val="0068526D"/>
    <w:rsid w:val="0069467C"/>
    <w:rsid w:val="006A3A16"/>
    <w:rsid w:val="006B02A5"/>
    <w:rsid w:val="006B19B7"/>
    <w:rsid w:val="006B6877"/>
    <w:rsid w:val="006C431B"/>
    <w:rsid w:val="006C5F17"/>
    <w:rsid w:val="006C67E9"/>
    <w:rsid w:val="006C7B47"/>
    <w:rsid w:val="006D7BAD"/>
    <w:rsid w:val="006E1DF1"/>
    <w:rsid w:val="006E2FE5"/>
    <w:rsid w:val="006E454A"/>
    <w:rsid w:val="006E63E5"/>
    <w:rsid w:val="006E678B"/>
    <w:rsid w:val="007009B6"/>
    <w:rsid w:val="00705795"/>
    <w:rsid w:val="00706933"/>
    <w:rsid w:val="00713ECA"/>
    <w:rsid w:val="00714E4F"/>
    <w:rsid w:val="0073317D"/>
    <w:rsid w:val="0073498A"/>
    <w:rsid w:val="0073640D"/>
    <w:rsid w:val="00751E25"/>
    <w:rsid w:val="007552F3"/>
    <w:rsid w:val="00755549"/>
    <w:rsid w:val="007631FD"/>
    <w:rsid w:val="00770AC4"/>
    <w:rsid w:val="007757F3"/>
    <w:rsid w:val="007D1134"/>
    <w:rsid w:val="007D54D2"/>
    <w:rsid w:val="007D7047"/>
    <w:rsid w:val="007E4C55"/>
    <w:rsid w:val="007E6AEB"/>
    <w:rsid w:val="00803C8E"/>
    <w:rsid w:val="008331CA"/>
    <w:rsid w:val="0084257F"/>
    <w:rsid w:val="00854914"/>
    <w:rsid w:val="00862ED1"/>
    <w:rsid w:val="008755DA"/>
    <w:rsid w:val="0088562A"/>
    <w:rsid w:val="00885A7A"/>
    <w:rsid w:val="0089324A"/>
    <w:rsid w:val="008973EE"/>
    <w:rsid w:val="008A7493"/>
    <w:rsid w:val="008A7789"/>
    <w:rsid w:val="008B367B"/>
    <w:rsid w:val="008B3C94"/>
    <w:rsid w:val="008D175F"/>
    <w:rsid w:val="008D6CA6"/>
    <w:rsid w:val="008E54C3"/>
    <w:rsid w:val="008E5780"/>
    <w:rsid w:val="008F640C"/>
    <w:rsid w:val="009068A5"/>
    <w:rsid w:val="009318B6"/>
    <w:rsid w:val="00941C88"/>
    <w:rsid w:val="00946314"/>
    <w:rsid w:val="00951E27"/>
    <w:rsid w:val="00967DEB"/>
    <w:rsid w:val="00971600"/>
    <w:rsid w:val="009760A8"/>
    <w:rsid w:val="00981521"/>
    <w:rsid w:val="009865DD"/>
    <w:rsid w:val="00990AF0"/>
    <w:rsid w:val="009973B4"/>
    <w:rsid w:val="009A457A"/>
    <w:rsid w:val="009C1EE2"/>
    <w:rsid w:val="009C28C1"/>
    <w:rsid w:val="009D20CD"/>
    <w:rsid w:val="009D5430"/>
    <w:rsid w:val="009E0E6E"/>
    <w:rsid w:val="009E1A2C"/>
    <w:rsid w:val="009E2EC5"/>
    <w:rsid w:val="009F0EDA"/>
    <w:rsid w:val="009F18AF"/>
    <w:rsid w:val="009F3172"/>
    <w:rsid w:val="009F4A90"/>
    <w:rsid w:val="009F7EED"/>
    <w:rsid w:val="00A0419F"/>
    <w:rsid w:val="00A1110F"/>
    <w:rsid w:val="00A2734C"/>
    <w:rsid w:val="00A30DDE"/>
    <w:rsid w:val="00A335ED"/>
    <w:rsid w:val="00A513EC"/>
    <w:rsid w:val="00A54304"/>
    <w:rsid w:val="00A6146F"/>
    <w:rsid w:val="00A84FD3"/>
    <w:rsid w:val="00A85563"/>
    <w:rsid w:val="00A91442"/>
    <w:rsid w:val="00AA543E"/>
    <w:rsid w:val="00AB0334"/>
    <w:rsid w:val="00AB45AC"/>
    <w:rsid w:val="00AB6F50"/>
    <w:rsid w:val="00AF0AAB"/>
    <w:rsid w:val="00B1235B"/>
    <w:rsid w:val="00B174FF"/>
    <w:rsid w:val="00B215FF"/>
    <w:rsid w:val="00B33C9F"/>
    <w:rsid w:val="00B341C5"/>
    <w:rsid w:val="00B43CE9"/>
    <w:rsid w:val="00B61FC2"/>
    <w:rsid w:val="00B63B5A"/>
    <w:rsid w:val="00B82EA5"/>
    <w:rsid w:val="00B90A0E"/>
    <w:rsid w:val="00B90C2C"/>
    <w:rsid w:val="00B96207"/>
    <w:rsid w:val="00BA2032"/>
    <w:rsid w:val="00BB2AFA"/>
    <w:rsid w:val="00BB5C9E"/>
    <w:rsid w:val="00BB6A1B"/>
    <w:rsid w:val="00BD23EC"/>
    <w:rsid w:val="00BE4239"/>
    <w:rsid w:val="00BE4BA8"/>
    <w:rsid w:val="00BF597E"/>
    <w:rsid w:val="00C30B76"/>
    <w:rsid w:val="00C35DF4"/>
    <w:rsid w:val="00C3798B"/>
    <w:rsid w:val="00C453D5"/>
    <w:rsid w:val="00C45693"/>
    <w:rsid w:val="00C51A36"/>
    <w:rsid w:val="00C55228"/>
    <w:rsid w:val="00C662F4"/>
    <w:rsid w:val="00C73A1A"/>
    <w:rsid w:val="00C74DF3"/>
    <w:rsid w:val="00C80D84"/>
    <w:rsid w:val="00C86445"/>
    <w:rsid w:val="00C900D1"/>
    <w:rsid w:val="00C926D4"/>
    <w:rsid w:val="00C96ECF"/>
    <w:rsid w:val="00CA17E5"/>
    <w:rsid w:val="00CA6325"/>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77628"/>
    <w:rsid w:val="00D8388C"/>
    <w:rsid w:val="00D91E07"/>
    <w:rsid w:val="00D922F0"/>
    <w:rsid w:val="00D94D50"/>
    <w:rsid w:val="00DA6D75"/>
    <w:rsid w:val="00DA6EE2"/>
    <w:rsid w:val="00DB131E"/>
    <w:rsid w:val="00DC39C3"/>
    <w:rsid w:val="00DC67BD"/>
    <w:rsid w:val="00DC6B31"/>
    <w:rsid w:val="00DD0CD8"/>
    <w:rsid w:val="00DD44CD"/>
    <w:rsid w:val="00DD7CF8"/>
    <w:rsid w:val="00DE150E"/>
    <w:rsid w:val="00DE60CF"/>
    <w:rsid w:val="00DF3DE3"/>
    <w:rsid w:val="00E057B5"/>
    <w:rsid w:val="00E11FF1"/>
    <w:rsid w:val="00E1555A"/>
    <w:rsid w:val="00E172D1"/>
    <w:rsid w:val="00E23D5B"/>
    <w:rsid w:val="00E260ED"/>
    <w:rsid w:val="00E30F8C"/>
    <w:rsid w:val="00E66F8E"/>
    <w:rsid w:val="00E67C54"/>
    <w:rsid w:val="00E70666"/>
    <w:rsid w:val="00E739AF"/>
    <w:rsid w:val="00E82C8A"/>
    <w:rsid w:val="00E84CDF"/>
    <w:rsid w:val="00E96F99"/>
    <w:rsid w:val="00EB0164"/>
    <w:rsid w:val="00ED0F62"/>
    <w:rsid w:val="00F04412"/>
    <w:rsid w:val="00F128EF"/>
    <w:rsid w:val="00F25A3E"/>
    <w:rsid w:val="00F315A7"/>
    <w:rsid w:val="00F31F44"/>
    <w:rsid w:val="00F41512"/>
    <w:rsid w:val="00F44F05"/>
    <w:rsid w:val="00F61533"/>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D281C"/>
    <w:rsid w:val="00FE0B48"/>
    <w:rsid w:val="00FF04EE"/>
    <w:rsid w:val="00FF2314"/>
    <w:rsid w:val="03011590"/>
    <w:rsid w:val="0320505F"/>
    <w:rsid w:val="04510B7D"/>
    <w:rsid w:val="06FE5272"/>
    <w:rsid w:val="088D485F"/>
    <w:rsid w:val="08BF0232"/>
    <w:rsid w:val="08E60B71"/>
    <w:rsid w:val="0A4E07CC"/>
    <w:rsid w:val="0A8D103E"/>
    <w:rsid w:val="0ACE1CBC"/>
    <w:rsid w:val="0B451C47"/>
    <w:rsid w:val="0B4E6612"/>
    <w:rsid w:val="0E3E43E5"/>
    <w:rsid w:val="0E673B3C"/>
    <w:rsid w:val="0E891764"/>
    <w:rsid w:val="0F413AC7"/>
    <w:rsid w:val="0F4D7A11"/>
    <w:rsid w:val="108219C2"/>
    <w:rsid w:val="108A0D67"/>
    <w:rsid w:val="1141415F"/>
    <w:rsid w:val="117E71EC"/>
    <w:rsid w:val="11D96B76"/>
    <w:rsid w:val="12245DB8"/>
    <w:rsid w:val="136314F4"/>
    <w:rsid w:val="13B81950"/>
    <w:rsid w:val="13CA12D3"/>
    <w:rsid w:val="13CE6575"/>
    <w:rsid w:val="141304FE"/>
    <w:rsid w:val="14257908"/>
    <w:rsid w:val="14D454BA"/>
    <w:rsid w:val="14FD6176"/>
    <w:rsid w:val="15D53416"/>
    <w:rsid w:val="162B5F34"/>
    <w:rsid w:val="1788557A"/>
    <w:rsid w:val="179470C0"/>
    <w:rsid w:val="17BB45DD"/>
    <w:rsid w:val="188C6160"/>
    <w:rsid w:val="18E30183"/>
    <w:rsid w:val="19BD6015"/>
    <w:rsid w:val="19C52FDD"/>
    <w:rsid w:val="1A5C1BE8"/>
    <w:rsid w:val="1A7479FC"/>
    <w:rsid w:val="1B3E39A3"/>
    <w:rsid w:val="1B71487F"/>
    <w:rsid w:val="1B9E43FA"/>
    <w:rsid w:val="1BD854B1"/>
    <w:rsid w:val="1BEC3BF1"/>
    <w:rsid w:val="1BF64D45"/>
    <w:rsid w:val="1BF91012"/>
    <w:rsid w:val="1BFD1F20"/>
    <w:rsid w:val="1C1F44BA"/>
    <w:rsid w:val="1D85741F"/>
    <w:rsid w:val="1DE60924"/>
    <w:rsid w:val="1E3751A0"/>
    <w:rsid w:val="1E847499"/>
    <w:rsid w:val="1F063599"/>
    <w:rsid w:val="1F1F7BA7"/>
    <w:rsid w:val="1FD7676E"/>
    <w:rsid w:val="22466570"/>
    <w:rsid w:val="22B83558"/>
    <w:rsid w:val="23557E88"/>
    <w:rsid w:val="239960F2"/>
    <w:rsid w:val="255B50E2"/>
    <w:rsid w:val="26A46875"/>
    <w:rsid w:val="274E61F5"/>
    <w:rsid w:val="2767752B"/>
    <w:rsid w:val="27DF7CD6"/>
    <w:rsid w:val="27E5357B"/>
    <w:rsid w:val="28563B5D"/>
    <w:rsid w:val="2AF034F9"/>
    <w:rsid w:val="2C703113"/>
    <w:rsid w:val="2D004A1A"/>
    <w:rsid w:val="2D423F4E"/>
    <w:rsid w:val="2DFC0E9E"/>
    <w:rsid w:val="2EE93C61"/>
    <w:rsid w:val="2FEB299B"/>
    <w:rsid w:val="307054BB"/>
    <w:rsid w:val="32691255"/>
    <w:rsid w:val="32C11AD5"/>
    <w:rsid w:val="336E24BB"/>
    <w:rsid w:val="34041CDB"/>
    <w:rsid w:val="3425737A"/>
    <w:rsid w:val="342B4EF0"/>
    <w:rsid w:val="3438524B"/>
    <w:rsid w:val="34B32935"/>
    <w:rsid w:val="35F33F5D"/>
    <w:rsid w:val="375F34D7"/>
    <w:rsid w:val="37FB7F90"/>
    <w:rsid w:val="39952144"/>
    <w:rsid w:val="3AD826FA"/>
    <w:rsid w:val="3B81758E"/>
    <w:rsid w:val="3BD4497A"/>
    <w:rsid w:val="3C6D5BF2"/>
    <w:rsid w:val="3C9E5B10"/>
    <w:rsid w:val="3D08299D"/>
    <w:rsid w:val="3DA37BBA"/>
    <w:rsid w:val="3DAD6D4F"/>
    <w:rsid w:val="3F0F3C1B"/>
    <w:rsid w:val="40285D69"/>
    <w:rsid w:val="414D774F"/>
    <w:rsid w:val="41842DAE"/>
    <w:rsid w:val="41853551"/>
    <w:rsid w:val="418A49D1"/>
    <w:rsid w:val="4219262D"/>
    <w:rsid w:val="440643B1"/>
    <w:rsid w:val="44D10776"/>
    <w:rsid w:val="45E57E09"/>
    <w:rsid w:val="465024ED"/>
    <w:rsid w:val="466F33FE"/>
    <w:rsid w:val="46B97919"/>
    <w:rsid w:val="476D01FA"/>
    <w:rsid w:val="481A62EC"/>
    <w:rsid w:val="48800E04"/>
    <w:rsid w:val="489C542B"/>
    <w:rsid w:val="494C5676"/>
    <w:rsid w:val="4ABE4B71"/>
    <w:rsid w:val="4BFF3076"/>
    <w:rsid w:val="4D943D2E"/>
    <w:rsid w:val="4E2C0F16"/>
    <w:rsid w:val="4E95570D"/>
    <w:rsid w:val="4EC64F08"/>
    <w:rsid w:val="4FF9693C"/>
    <w:rsid w:val="50886C2D"/>
    <w:rsid w:val="51543C71"/>
    <w:rsid w:val="52390AC9"/>
    <w:rsid w:val="53402D13"/>
    <w:rsid w:val="54CC0192"/>
    <w:rsid w:val="55AB77B2"/>
    <w:rsid w:val="56135BAC"/>
    <w:rsid w:val="56390FCA"/>
    <w:rsid w:val="57FF34CD"/>
    <w:rsid w:val="58322D49"/>
    <w:rsid w:val="592F0962"/>
    <w:rsid w:val="59D5213B"/>
    <w:rsid w:val="5A526EF4"/>
    <w:rsid w:val="5AAA27E4"/>
    <w:rsid w:val="5BCC76FD"/>
    <w:rsid w:val="5BE53841"/>
    <w:rsid w:val="5CAB10AC"/>
    <w:rsid w:val="5CB37300"/>
    <w:rsid w:val="5CF01358"/>
    <w:rsid w:val="5DAB4DE2"/>
    <w:rsid w:val="5DE6570D"/>
    <w:rsid w:val="5EA12B9A"/>
    <w:rsid w:val="5ED74E33"/>
    <w:rsid w:val="5F816C22"/>
    <w:rsid w:val="5FF65830"/>
    <w:rsid w:val="614A0DF3"/>
    <w:rsid w:val="628F0BD1"/>
    <w:rsid w:val="63606581"/>
    <w:rsid w:val="64931835"/>
    <w:rsid w:val="65B47E80"/>
    <w:rsid w:val="661149EF"/>
    <w:rsid w:val="6612664F"/>
    <w:rsid w:val="66B7462A"/>
    <w:rsid w:val="671B60B7"/>
    <w:rsid w:val="67C00F84"/>
    <w:rsid w:val="68AC04FF"/>
    <w:rsid w:val="69EA7EC1"/>
    <w:rsid w:val="6A23146B"/>
    <w:rsid w:val="6BAC184E"/>
    <w:rsid w:val="6BE54A27"/>
    <w:rsid w:val="6CA45EE1"/>
    <w:rsid w:val="6D53402F"/>
    <w:rsid w:val="6D932FC6"/>
    <w:rsid w:val="6EE57067"/>
    <w:rsid w:val="6F6A2170"/>
    <w:rsid w:val="6F990D30"/>
    <w:rsid w:val="70205029"/>
    <w:rsid w:val="702D7970"/>
    <w:rsid w:val="71065FD8"/>
    <w:rsid w:val="717078B4"/>
    <w:rsid w:val="722D3D1D"/>
    <w:rsid w:val="7333596B"/>
    <w:rsid w:val="734734FA"/>
    <w:rsid w:val="73A00EA2"/>
    <w:rsid w:val="75A8368A"/>
    <w:rsid w:val="761F43CB"/>
    <w:rsid w:val="76373F2B"/>
    <w:rsid w:val="76E27F87"/>
    <w:rsid w:val="77310DBF"/>
    <w:rsid w:val="783A1E7B"/>
    <w:rsid w:val="785A4758"/>
    <w:rsid w:val="78741EB2"/>
    <w:rsid w:val="79C04904"/>
    <w:rsid w:val="79E2643B"/>
    <w:rsid w:val="7A3A268E"/>
    <w:rsid w:val="7B2E74C8"/>
    <w:rsid w:val="7B5C61FD"/>
    <w:rsid w:val="7C4566E1"/>
    <w:rsid w:val="7C614C0E"/>
    <w:rsid w:val="7E8A3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qFormat/>
    <w:uiPriority w:val="0"/>
    <w:pPr>
      <w:ind w:firstLine="480" w:firstLineChars="200"/>
    </w:pPr>
    <w:rPr>
      <w:sz w:val="24"/>
    </w:rPr>
  </w:style>
  <w:style w:type="paragraph" w:styleId="6">
    <w:name w:val="Plain Text"/>
    <w:basedOn w:val="1"/>
    <w:link w:val="20"/>
    <w:unhideWhenUsed/>
    <w:qFormat/>
    <w:uiPriority w:val="0"/>
    <w:rPr>
      <w:rFonts w:ascii="宋体" w:hAnsi="Courier New"/>
    </w:rPr>
  </w:style>
  <w:style w:type="paragraph" w:styleId="7">
    <w:name w:val="Balloon Text"/>
    <w:basedOn w:val="1"/>
    <w:link w:val="16"/>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ind w:firstLine="420" w:firstLineChars="200"/>
    </w:pPr>
    <w:rPr>
      <w:rFonts w:ascii="Calibri" w:hAnsi="Calibri"/>
      <w:szCs w:val="22"/>
    </w:rPr>
  </w:style>
  <w:style w:type="paragraph" w:styleId="19">
    <w:name w:val="List Paragraph"/>
    <w:basedOn w:val="1"/>
    <w:qFormat/>
    <w:uiPriority w:val="99"/>
    <w:pPr>
      <w:ind w:firstLine="420" w:firstLineChars="200"/>
    </w:pPr>
  </w:style>
  <w:style w:type="character" w:customStyle="1" w:styleId="20">
    <w:name w:val="纯文本 Char"/>
    <w:link w:val="6"/>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5F241-169B-4ECD-92A6-0D8DDE63F855}">
  <ds:schemaRefs/>
</ds:datastoreItem>
</file>

<file path=docProps/app.xml><?xml version="1.0" encoding="utf-8"?>
<Properties xmlns="http://schemas.openxmlformats.org/officeDocument/2006/extended-properties" xmlns:vt="http://schemas.openxmlformats.org/officeDocument/2006/docPropsVTypes">
  <Template>Normal</Template>
  <Pages>7</Pages>
  <Words>955</Words>
  <Characters>5446</Characters>
  <Lines>45</Lines>
  <Paragraphs>12</Paragraphs>
  <TotalTime>0</TotalTime>
  <ScaleCrop>false</ScaleCrop>
  <LinksUpToDate>false</LinksUpToDate>
  <CharactersWithSpaces>6389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2021-09-10T02:56:06Z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27C4BE1903744FB2BECAA5B7F9BF4924</vt:lpwstr>
  </property>
</Properties>
</file>