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0887-2021-FH</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065"/>
        <w:gridCol w:w="1400"/>
        <w:gridCol w:w="1060"/>
        <w:gridCol w:w="1350"/>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525" w:type="dxa"/>
            <w:gridSpan w:val="3"/>
          </w:tcPr>
          <w:p>
            <w:pPr>
              <w:snapToGrid w:val="0"/>
              <w:spacing w:line="0" w:lineRule="atLeast"/>
              <w:jc w:val="center"/>
              <w:rPr>
                <w:rFonts w:eastAsia="隶书"/>
                <w:b/>
                <w:color w:val="000000" w:themeColor="text1"/>
                <w:sz w:val="22"/>
                <w:szCs w:val="22"/>
              </w:rPr>
            </w:pPr>
            <w:bookmarkStart w:id="1" w:name="组织名称"/>
            <w:r>
              <w:rPr>
                <w:rFonts w:hint="eastAsia" w:eastAsia="隶书"/>
                <w:b/>
                <w:color w:val="000000" w:themeColor="text1"/>
                <w:sz w:val="22"/>
                <w:szCs w:val="22"/>
              </w:rPr>
              <w:t>安徽雪域燕果食品有限公司</w:t>
            </w:r>
            <w:bookmarkEnd w:id="1"/>
          </w:p>
        </w:tc>
        <w:tc>
          <w:tcPr>
            <w:tcW w:w="135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511" w:type="dxa"/>
          </w:tcPr>
          <w:p>
            <w:pPr>
              <w:snapToGrid w:val="0"/>
              <w:spacing w:line="0" w:lineRule="atLeast"/>
              <w:jc w:val="center"/>
              <w:rPr>
                <w:rFonts w:eastAsia="隶书"/>
                <w:b/>
                <w:color w:val="000000" w:themeColor="text1"/>
                <w:sz w:val="22"/>
                <w:szCs w:val="22"/>
              </w:rPr>
            </w:pPr>
            <w:bookmarkStart w:id="2" w:name="总组长"/>
            <w:r>
              <w:rPr>
                <w:rFonts w:hint="eastAsia"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525" w:type="dxa"/>
            <w:gridSpan w:val="3"/>
          </w:tcPr>
          <w:p>
            <w:pPr>
              <w:snapToGrid w:val="0"/>
              <w:spacing w:line="0" w:lineRule="atLeast"/>
              <w:jc w:val="center"/>
              <w:rPr>
                <w:sz w:val="22"/>
                <w:szCs w:val="22"/>
              </w:rPr>
            </w:pPr>
          </w:p>
        </w:tc>
        <w:tc>
          <w:tcPr>
            <w:tcW w:w="1350" w:type="dxa"/>
          </w:tcPr>
          <w:p>
            <w:pPr>
              <w:snapToGrid w:val="0"/>
              <w:spacing w:line="0" w:lineRule="atLeast"/>
              <w:jc w:val="center"/>
              <w:rPr>
                <w:sz w:val="22"/>
                <w:szCs w:val="22"/>
              </w:rPr>
            </w:pPr>
            <w:r>
              <w:rPr>
                <w:rFonts w:hint="eastAsia"/>
                <w:sz w:val="22"/>
                <w:szCs w:val="22"/>
                <w:lang w:val="en-GB"/>
              </w:rPr>
              <w:t>证书号</w:t>
            </w:r>
          </w:p>
        </w:tc>
        <w:tc>
          <w:tcPr>
            <w:tcW w:w="1511" w:type="dxa"/>
          </w:tcPr>
          <w:p>
            <w:pPr>
              <w:snapToGrid w:val="0"/>
              <w:spacing w:line="0" w:lineRule="atLeast"/>
              <w:jc w:val="center"/>
              <w:rPr>
                <w:sz w:val="22"/>
                <w:szCs w:val="22"/>
              </w:rPr>
            </w:pPr>
            <w:bookmarkStart w:id="3" w:name="证书编号"/>
            <w:r>
              <w:rPr>
                <w:rFonts w:hint="eastAsia"/>
                <w:sz w:val="22"/>
                <w:szCs w:val="22"/>
              </w:rPr>
              <w:t>F:,H:</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tcPr>
          <w:p>
            <w:pPr>
              <w:snapToGrid w:val="0"/>
              <w:spacing w:line="0" w:lineRule="atLeast"/>
              <w:jc w:val="center"/>
              <w:rPr>
                <w:sz w:val="22"/>
                <w:szCs w:val="22"/>
              </w:rPr>
            </w:pPr>
            <w:r>
              <w:rPr>
                <w:rFonts w:hint="eastAsia"/>
                <w:sz w:val="22"/>
                <w:szCs w:val="22"/>
                <w:lang w:val="en-GB"/>
              </w:rPr>
              <w:t>组织机构代码</w:t>
            </w:r>
          </w:p>
        </w:tc>
        <w:tc>
          <w:tcPr>
            <w:tcW w:w="5525" w:type="dxa"/>
            <w:gridSpan w:val="3"/>
          </w:tcPr>
          <w:p>
            <w:pPr>
              <w:snapToGrid w:val="0"/>
              <w:spacing w:line="0" w:lineRule="atLeast"/>
              <w:jc w:val="center"/>
              <w:rPr>
                <w:sz w:val="22"/>
                <w:szCs w:val="22"/>
              </w:rPr>
            </w:pPr>
            <w:bookmarkStart w:id="4" w:name="机构代码"/>
            <w:r>
              <w:rPr>
                <w:rFonts w:hint="eastAsia"/>
                <w:sz w:val="22"/>
                <w:szCs w:val="22"/>
              </w:rPr>
              <w:t>91340122MA2RJ9MA5N</w:t>
            </w:r>
            <w:bookmarkEnd w:id="4"/>
          </w:p>
        </w:tc>
        <w:tc>
          <w:tcPr>
            <w:tcW w:w="1350" w:type="dxa"/>
          </w:tcPr>
          <w:p>
            <w:pPr>
              <w:snapToGrid w:val="0"/>
              <w:spacing w:line="0" w:lineRule="atLeast"/>
              <w:jc w:val="center"/>
              <w:rPr>
                <w:sz w:val="22"/>
                <w:szCs w:val="22"/>
              </w:rPr>
            </w:pPr>
            <w:r>
              <w:rPr>
                <w:rFonts w:hint="eastAsia"/>
                <w:sz w:val="22"/>
                <w:szCs w:val="22"/>
              </w:rPr>
              <w:t>是否带CNAS标志</w:t>
            </w:r>
          </w:p>
        </w:tc>
        <w:tc>
          <w:tcPr>
            <w:tcW w:w="1511" w:type="dxa"/>
          </w:tcPr>
          <w:p>
            <w:pPr>
              <w:snapToGrid w:val="0"/>
              <w:spacing w:line="0" w:lineRule="atLeast"/>
              <w:rPr>
                <w:rFonts w:hint="eastAsia"/>
                <w:sz w:val="22"/>
                <w:szCs w:val="22"/>
              </w:rPr>
            </w:pPr>
            <w:r>
              <w:rPr>
                <w:rFonts w:hint="eastAsia" w:ascii="Wingdings" w:hAnsi="Wingdings"/>
                <w:sz w:val="22"/>
                <w:szCs w:val="22"/>
              </w:rPr>
              <w:sym w:font="Wingdings 2" w:char="00A3"/>
            </w:r>
            <w:r>
              <w:rPr>
                <w:rFonts w:hint="eastAsia"/>
                <w:sz w:val="22"/>
                <w:szCs w:val="22"/>
              </w:rPr>
              <w:t xml:space="preserve">带标 </w:t>
            </w:r>
          </w:p>
          <w:p>
            <w:pPr>
              <w:snapToGrid w:val="0"/>
              <w:spacing w:line="0" w:lineRule="atLeast"/>
              <w:rPr>
                <w:sz w:val="22"/>
                <w:szCs w:val="22"/>
              </w:rPr>
            </w:pPr>
            <w:r>
              <w:rPr>
                <w:rFonts w:hint="eastAsia" w:ascii="Wingdings" w:hAnsi="Wingdings"/>
                <w:sz w:val="22"/>
                <w:szCs w:val="22"/>
              </w:rPr>
              <w:sym w:font="Wingdings 2" w:char="00A3"/>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525"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rPr>
                <w:sz w:val="22"/>
                <w:szCs w:val="22"/>
              </w:rPr>
            </w:pPr>
            <w:bookmarkStart w:id="10" w:name="F勾选"/>
            <w:r>
              <w:rPr>
                <w:rFonts w:hint="eastAsia"/>
                <w:sz w:val="22"/>
                <w:szCs w:val="22"/>
              </w:rPr>
              <w:t>■</w:t>
            </w:r>
            <w:bookmarkEnd w:id="10"/>
            <w:r>
              <w:rPr>
                <w:rFonts w:hint="eastAsia"/>
                <w:sz w:val="22"/>
                <w:szCs w:val="22"/>
              </w:rPr>
              <w:t>ISO 22000-2018</w:t>
            </w:r>
            <w:r>
              <w:rPr>
                <w:rFonts w:hint="eastAsia" w:ascii="宋体" w:hAnsi="宋体"/>
                <w:b/>
                <w:sz w:val="21"/>
                <w:szCs w:val="21"/>
              </w:rPr>
              <w:t xml:space="preserve"> &amp;CCAA0018-2014《食品安全管理体系 坚果加工企业要求》、CCAA0020-2014《食品安全管理体系 果蔬制品生产企业要求》</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50" w:type="dxa"/>
          </w:tcPr>
          <w:p>
            <w:pPr>
              <w:snapToGrid w:val="0"/>
              <w:spacing w:line="0" w:lineRule="atLeast"/>
              <w:jc w:val="center"/>
              <w:rPr>
                <w:sz w:val="22"/>
                <w:szCs w:val="22"/>
              </w:rPr>
            </w:pPr>
            <w:r>
              <w:rPr>
                <w:rFonts w:hint="eastAsia"/>
                <w:sz w:val="22"/>
                <w:szCs w:val="22"/>
              </w:rPr>
              <w:t>企业体系有效人数</w:t>
            </w:r>
          </w:p>
        </w:tc>
        <w:tc>
          <w:tcPr>
            <w:tcW w:w="1511" w:type="dxa"/>
          </w:tcPr>
          <w:p>
            <w:pPr>
              <w:snapToGrid w:val="0"/>
              <w:spacing w:line="0" w:lineRule="atLeast"/>
              <w:jc w:val="center"/>
              <w:rPr>
                <w:sz w:val="22"/>
                <w:szCs w:val="22"/>
              </w:rPr>
            </w:pPr>
            <w:bookmarkStart w:id="12" w:name="体系人数"/>
            <w:r>
              <w:rPr>
                <w:rFonts w:hint="eastAsia"/>
                <w:sz w:val="22"/>
                <w:szCs w:val="22"/>
              </w:rPr>
              <w:t>F:40,H:40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 xml:space="preserve">初次认证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 xml:space="preserve">监督审核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 xml:space="preserve">再认证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  □换证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  □地址变更  □认证范围变更（□扩大□缩小）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065" w:type="dxa"/>
          </w:tcPr>
          <w:p>
            <w:pPr>
              <w:snapToGrid w:val="0"/>
              <w:spacing w:line="0" w:lineRule="atLeast"/>
              <w:jc w:val="left"/>
              <w:rPr>
                <w:sz w:val="22"/>
                <w:szCs w:val="22"/>
              </w:rPr>
            </w:pPr>
            <w:r>
              <w:rPr>
                <w:rFonts w:hint="eastAsia"/>
                <w:sz w:val="22"/>
                <w:szCs w:val="22"/>
                <w:lang w:val="en-GB"/>
              </w:rPr>
              <w:t>中文公司名称及地址</w:t>
            </w:r>
          </w:p>
        </w:tc>
        <w:tc>
          <w:tcPr>
            <w:tcW w:w="5321"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065" w:type="dxa"/>
          </w:tcPr>
          <w:p>
            <w:pPr>
              <w:snapToGrid w:val="0"/>
              <w:spacing w:line="0" w:lineRule="atLeast"/>
              <w:jc w:val="left"/>
              <w:rPr>
                <w:sz w:val="22"/>
                <w:szCs w:val="22"/>
                <w:lang w:val="en-GB"/>
              </w:rPr>
            </w:pPr>
            <w:bookmarkStart w:id="17" w:name="组织名称Add1"/>
            <w:r>
              <w:rPr>
                <w:rFonts w:hint="eastAsia"/>
                <w:sz w:val="22"/>
                <w:szCs w:val="22"/>
              </w:rPr>
              <w:t>安徽雪域燕果食品有限公司</w:t>
            </w:r>
            <w:bookmarkEnd w:id="17"/>
          </w:p>
        </w:tc>
        <w:tc>
          <w:tcPr>
            <w:tcW w:w="5321" w:type="dxa"/>
            <w:gridSpan w:val="4"/>
            <w:vMerge w:val="restart"/>
          </w:tcPr>
          <w:p>
            <w:pPr>
              <w:snapToGrid w:val="0"/>
              <w:spacing w:line="0" w:lineRule="atLeast"/>
              <w:jc w:val="left"/>
              <w:rPr>
                <w:sz w:val="22"/>
                <w:szCs w:val="22"/>
              </w:rPr>
            </w:pPr>
            <w:bookmarkStart w:id="18" w:name="审核范围"/>
            <w:r>
              <w:rPr>
                <w:rFonts w:hint="eastAsia"/>
                <w:sz w:val="22"/>
                <w:szCs w:val="22"/>
              </w:rPr>
              <w:t>F：位于安徽省合肥市肥东县肥东经济开发区团结路南侧安徽雪域燕果食品有限公司生产车间的水果制品（葡萄干的生产、枣分装）和坚果制品（核桃）分装</w:t>
            </w:r>
          </w:p>
          <w:p>
            <w:pPr>
              <w:snapToGrid w:val="0"/>
              <w:spacing w:line="0" w:lineRule="atLeast"/>
              <w:jc w:val="left"/>
              <w:rPr>
                <w:sz w:val="22"/>
                <w:szCs w:val="22"/>
              </w:rPr>
            </w:pPr>
            <w:r>
              <w:rPr>
                <w:rFonts w:hint="eastAsia"/>
                <w:sz w:val="22"/>
                <w:szCs w:val="22"/>
              </w:rPr>
              <w:t>H：位于安徽省合肥市肥东县肥东经济开发区团结路南侧安徽雪域燕果食品有限公司生产车间的水果制品（葡萄干的生产、枣分装）和坚果制品（核桃）分装</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065" w:type="dxa"/>
          </w:tcPr>
          <w:p>
            <w:pPr>
              <w:snapToGrid w:val="0"/>
              <w:spacing w:line="0" w:lineRule="atLeast"/>
              <w:jc w:val="left"/>
              <w:rPr>
                <w:sz w:val="22"/>
                <w:szCs w:val="22"/>
              </w:rPr>
            </w:pPr>
            <w:bookmarkStart w:id="19" w:name="注册地址"/>
            <w:r>
              <w:rPr>
                <w:rFonts w:hint="eastAsia"/>
                <w:sz w:val="22"/>
                <w:szCs w:val="22"/>
                <w:lang w:val="en-GB"/>
              </w:rPr>
              <w:t>安徽省合肥市肥东县肥东经济开发区团结路南侧</w:t>
            </w:r>
            <w:bookmarkEnd w:id="19"/>
          </w:p>
        </w:tc>
        <w:tc>
          <w:tcPr>
            <w:tcW w:w="5321"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065" w:type="dxa"/>
          </w:tcPr>
          <w:p>
            <w:pPr>
              <w:snapToGrid w:val="0"/>
              <w:spacing w:line="0" w:lineRule="atLeast"/>
              <w:jc w:val="left"/>
              <w:rPr>
                <w:sz w:val="22"/>
                <w:szCs w:val="22"/>
              </w:rPr>
            </w:pPr>
            <w:bookmarkStart w:id="20" w:name="办公地址"/>
            <w:r>
              <w:rPr>
                <w:rFonts w:hint="eastAsia"/>
                <w:sz w:val="22"/>
                <w:szCs w:val="22"/>
                <w:lang w:val="en-GB"/>
              </w:rPr>
              <w:t>安徽省合肥市肥东县肥东经济开发区团结路南侧</w:t>
            </w:r>
            <w:bookmarkEnd w:id="20"/>
          </w:p>
        </w:tc>
        <w:tc>
          <w:tcPr>
            <w:tcW w:w="5321"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065"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321"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highlight w:val="none"/>
              </w:rPr>
            </w:pPr>
            <w:r>
              <w:rPr>
                <w:rFonts w:cs="Arial"/>
                <w:b/>
                <w:bCs/>
                <w:sz w:val="22"/>
                <w:szCs w:val="16"/>
                <w:highlight w:val="none"/>
              </w:rPr>
              <w:t>Company Name</w:t>
            </w:r>
            <w:r>
              <w:rPr>
                <w:rFonts w:hint="eastAsia"/>
                <w:sz w:val="22"/>
                <w:szCs w:val="22"/>
                <w:highlight w:val="none"/>
                <w:lang w:val="en-GB"/>
              </w:rPr>
              <w:t>公司名称</w:t>
            </w:r>
          </w:p>
        </w:tc>
        <w:tc>
          <w:tcPr>
            <w:tcW w:w="3065" w:type="dxa"/>
            <w:vMerge w:val="restart"/>
          </w:tcPr>
          <w:p>
            <w:pPr>
              <w:snapToGrid w:val="0"/>
              <w:spacing w:line="0" w:lineRule="atLeast"/>
              <w:jc w:val="left"/>
              <w:rPr>
                <w:rFonts w:hint="eastAsia" w:eastAsia="宋体"/>
                <w:highlight w:val="none"/>
                <w:lang w:val="en-US" w:eastAsia="zh-CN"/>
              </w:rPr>
            </w:pPr>
            <w:r>
              <w:rPr>
                <w:highlight w:val="none"/>
              </w:rPr>
              <w:t>Anhui Xueyu Yanguo Foods Co.Ltd</w:t>
            </w:r>
            <w:r>
              <w:rPr>
                <w:rFonts w:hint="eastAsia"/>
                <w:highlight w:val="none"/>
                <w:lang w:val="en-US" w:eastAsia="zh-CN"/>
              </w:rPr>
              <w:t>.</w:t>
            </w:r>
          </w:p>
        </w:tc>
        <w:tc>
          <w:tcPr>
            <w:tcW w:w="1400" w:type="dxa"/>
          </w:tcPr>
          <w:p>
            <w:pPr>
              <w:snapToGrid w:val="0"/>
              <w:spacing w:line="0" w:lineRule="atLeast"/>
              <w:jc w:val="left"/>
              <w:rPr>
                <w:sz w:val="22"/>
                <w:szCs w:val="22"/>
                <w:highlight w:val="none"/>
              </w:rPr>
            </w:pPr>
            <w:r>
              <w:rPr>
                <w:rFonts w:hint="eastAsia"/>
                <w:sz w:val="22"/>
                <w:szCs w:val="22"/>
                <w:highlight w:val="none"/>
              </w:rPr>
              <w:t>QMS/EcMS</w:t>
            </w:r>
          </w:p>
        </w:tc>
        <w:tc>
          <w:tcPr>
            <w:tcW w:w="3921" w:type="dxa"/>
            <w:gridSpan w:val="3"/>
          </w:tcPr>
          <w:p>
            <w:pPr>
              <w:snapToGrid w:val="0"/>
              <w:spacing w:line="0" w:lineRule="atLeast"/>
              <w:jc w:val="left"/>
              <w:rPr>
                <w:sz w:val="21"/>
                <w:szCs w:val="16"/>
              </w:rPr>
            </w:pPr>
            <w:r>
              <w:rPr>
                <w:rFonts w:hint="eastAsia"/>
                <w:sz w:val="21"/>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576" w:type="dxa"/>
            <w:vMerge w:val="continue"/>
          </w:tcPr>
          <w:p>
            <w:pPr>
              <w:snapToGrid w:val="0"/>
              <w:spacing w:line="0" w:lineRule="atLeast"/>
              <w:jc w:val="left"/>
              <w:rPr>
                <w:rFonts w:cs="Arial"/>
                <w:b/>
                <w:bCs/>
                <w:sz w:val="22"/>
                <w:szCs w:val="16"/>
                <w:highlight w:val="none"/>
              </w:rPr>
            </w:pPr>
          </w:p>
        </w:tc>
        <w:tc>
          <w:tcPr>
            <w:tcW w:w="3065" w:type="dxa"/>
            <w:vMerge w:val="continue"/>
          </w:tcPr>
          <w:p>
            <w:pPr>
              <w:snapToGrid w:val="0"/>
              <w:spacing w:line="0" w:lineRule="atLeast"/>
              <w:jc w:val="left"/>
              <w:rPr>
                <w:highlight w:val="none"/>
              </w:rPr>
            </w:pPr>
          </w:p>
        </w:tc>
        <w:tc>
          <w:tcPr>
            <w:tcW w:w="1400" w:type="dxa"/>
          </w:tcPr>
          <w:p>
            <w:pPr>
              <w:snapToGrid w:val="0"/>
              <w:spacing w:line="0" w:lineRule="atLeast"/>
              <w:jc w:val="left"/>
              <w:rPr>
                <w:sz w:val="22"/>
                <w:szCs w:val="22"/>
                <w:highlight w:val="none"/>
              </w:rPr>
            </w:pPr>
            <w:r>
              <w:rPr>
                <w:rFonts w:hint="eastAsia"/>
                <w:sz w:val="22"/>
                <w:szCs w:val="22"/>
                <w:highlight w:val="none"/>
              </w:rPr>
              <w:t>EMS</w:t>
            </w:r>
          </w:p>
        </w:tc>
        <w:tc>
          <w:tcPr>
            <w:tcW w:w="3921" w:type="dxa"/>
            <w:gridSpan w:val="3"/>
          </w:tcPr>
          <w:p>
            <w:pPr>
              <w:snapToGrid w:val="0"/>
              <w:spacing w:line="0" w:lineRule="atLeast"/>
              <w:jc w:val="left"/>
              <w:rPr>
                <w:sz w:val="21"/>
                <w:szCs w:val="16"/>
              </w:rPr>
            </w:pPr>
            <w:r>
              <w:rPr>
                <w:rFonts w:hint="eastAsia"/>
                <w:sz w:val="21"/>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highlight w:val="none"/>
              </w:rPr>
            </w:pPr>
            <w:r>
              <w:rPr>
                <w:sz w:val="22"/>
                <w:szCs w:val="16"/>
                <w:highlight w:val="none"/>
              </w:rPr>
              <w:fldChar w:fldCharType="begin"/>
            </w:r>
            <w:r>
              <w:rPr>
                <w:sz w:val="22"/>
                <w:szCs w:val="16"/>
                <w:highlight w:val="none"/>
                <w:lang w:val="en-GB"/>
              </w:rPr>
              <w:instrText xml:space="preserve"> STYLEREF TM_street \* MERGEFORMAT </w:instrText>
            </w:r>
            <w:r>
              <w:rPr>
                <w:sz w:val="22"/>
                <w:szCs w:val="16"/>
                <w:highlight w:val="none"/>
              </w:rPr>
              <w:fldChar w:fldCharType="end"/>
            </w:r>
            <w:r>
              <w:rPr>
                <w:rFonts w:cs="Arial"/>
                <w:b/>
                <w:bCs/>
                <w:sz w:val="22"/>
                <w:szCs w:val="16"/>
                <w:highlight w:val="none"/>
              </w:rPr>
              <w:t>Registration Address</w:t>
            </w:r>
            <w:r>
              <w:rPr>
                <w:rFonts w:hint="eastAsia"/>
                <w:sz w:val="22"/>
                <w:szCs w:val="22"/>
                <w:highlight w:val="none"/>
                <w:lang w:val="en-GB"/>
              </w:rPr>
              <w:t>注册地址</w:t>
            </w:r>
          </w:p>
        </w:tc>
        <w:tc>
          <w:tcPr>
            <w:tcW w:w="3065" w:type="dxa"/>
            <w:vMerge w:val="restart"/>
          </w:tcPr>
          <w:p>
            <w:pPr>
              <w:snapToGrid w:val="0"/>
              <w:spacing w:line="0" w:lineRule="atLeast"/>
              <w:jc w:val="left"/>
              <w:rPr>
                <w:highlight w:val="none"/>
              </w:rPr>
            </w:pPr>
            <w:r>
              <w:rPr>
                <w:rFonts w:hint="eastAsia"/>
                <w:highlight w:val="none"/>
              </w:rPr>
              <w:t>South</w:t>
            </w:r>
            <w:r>
              <w:rPr>
                <w:highlight w:val="none"/>
              </w:rPr>
              <w:t xml:space="preserve"> Side </w:t>
            </w:r>
            <w:r>
              <w:rPr>
                <w:rFonts w:hint="eastAsia"/>
                <w:highlight w:val="none"/>
              </w:rPr>
              <w:t>Tuanjie Road, Economic Development Zone, Feidong County, Hefei City, Anhui Provience, 231600, P.R.China</w:t>
            </w:r>
          </w:p>
        </w:tc>
        <w:tc>
          <w:tcPr>
            <w:tcW w:w="1400" w:type="dxa"/>
          </w:tcPr>
          <w:p>
            <w:pPr>
              <w:snapToGrid w:val="0"/>
              <w:spacing w:line="0" w:lineRule="atLeast"/>
              <w:jc w:val="left"/>
              <w:rPr>
                <w:sz w:val="22"/>
                <w:szCs w:val="22"/>
                <w:highlight w:val="none"/>
              </w:rPr>
            </w:pPr>
            <w:r>
              <w:rPr>
                <w:rFonts w:hint="eastAsia"/>
                <w:sz w:val="22"/>
                <w:szCs w:val="22"/>
                <w:highlight w:val="none"/>
              </w:rPr>
              <w:t>OHSMS</w:t>
            </w:r>
          </w:p>
        </w:tc>
        <w:tc>
          <w:tcPr>
            <w:tcW w:w="3921" w:type="dxa"/>
            <w:gridSpan w:val="3"/>
          </w:tcPr>
          <w:p>
            <w:pPr>
              <w:snapToGrid w:val="0"/>
              <w:spacing w:line="0" w:lineRule="atLeast"/>
              <w:jc w:val="lef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none"/>
              </w:rPr>
            </w:pPr>
          </w:p>
        </w:tc>
        <w:tc>
          <w:tcPr>
            <w:tcW w:w="3065" w:type="dxa"/>
            <w:vMerge w:val="continue"/>
          </w:tcPr>
          <w:p>
            <w:pPr>
              <w:snapToGrid w:val="0"/>
              <w:spacing w:line="0" w:lineRule="atLeast"/>
              <w:jc w:val="left"/>
              <w:rPr>
                <w:highlight w:val="none"/>
              </w:rPr>
            </w:pPr>
          </w:p>
        </w:tc>
        <w:tc>
          <w:tcPr>
            <w:tcW w:w="1400" w:type="dxa"/>
          </w:tcPr>
          <w:p>
            <w:pPr>
              <w:snapToGrid w:val="0"/>
              <w:spacing w:line="0" w:lineRule="atLeast"/>
              <w:jc w:val="left"/>
              <w:rPr>
                <w:sz w:val="22"/>
                <w:szCs w:val="22"/>
                <w:highlight w:val="none"/>
              </w:rPr>
            </w:pPr>
            <w:r>
              <w:rPr>
                <w:rFonts w:hint="eastAsia"/>
                <w:sz w:val="22"/>
                <w:szCs w:val="22"/>
                <w:highlight w:val="none"/>
              </w:rPr>
              <w:t>EnMS</w:t>
            </w:r>
          </w:p>
        </w:tc>
        <w:tc>
          <w:tcPr>
            <w:tcW w:w="3921" w:type="dxa"/>
            <w:gridSpan w:val="3"/>
          </w:tcPr>
          <w:p>
            <w:pPr>
              <w:snapToGrid w:val="0"/>
              <w:spacing w:line="0" w:lineRule="atLeast"/>
              <w:jc w:val="left"/>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highlight w:val="none"/>
                <w:lang w:val="en-GB"/>
              </w:rPr>
            </w:pPr>
            <w:r>
              <w:rPr>
                <w:rFonts w:cs="Arial"/>
                <w:b/>
                <w:bCs/>
                <w:sz w:val="22"/>
                <w:szCs w:val="16"/>
                <w:highlight w:val="none"/>
              </w:rPr>
              <w:t>Operation Address</w:t>
            </w:r>
            <w:r>
              <w:rPr>
                <w:rFonts w:hint="eastAsia"/>
                <w:sz w:val="22"/>
                <w:szCs w:val="22"/>
                <w:highlight w:val="none"/>
              </w:rPr>
              <w:t>经营</w:t>
            </w:r>
            <w:r>
              <w:rPr>
                <w:rFonts w:hint="eastAsia"/>
                <w:sz w:val="22"/>
                <w:szCs w:val="22"/>
                <w:highlight w:val="none"/>
                <w:lang w:val="en-GB"/>
              </w:rPr>
              <w:t>地址</w:t>
            </w:r>
          </w:p>
        </w:tc>
        <w:tc>
          <w:tcPr>
            <w:tcW w:w="3065" w:type="dxa"/>
            <w:vMerge w:val="restart"/>
          </w:tcPr>
          <w:p>
            <w:pPr>
              <w:snapToGrid w:val="0"/>
              <w:spacing w:line="0" w:lineRule="atLeast"/>
              <w:jc w:val="left"/>
              <w:rPr>
                <w:highlight w:val="none"/>
              </w:rPr>
            </w:pPr>
            <w:r>
              <w:rPr>
                <w:rFonts w:hint="eastAsia"/>
                <w:highlight w:val="none"/>
              </w:rPr>
              <w:t>South</w:t>
            </w:r>
            <w:r>
              <w:rPr>
                <w:highlight w:val="none"/>
              </w:rPr>
              <w:t xml:space="preserve"> Side  </w:t>
            </w:r>
            <w:r>
              <w:rPr>
                <w:rFonts w:hint="eastAsia"/>
                <w:highlight w:val="none"/>
              </w:rPr>
              <w:t>Tuanjie Road, Economic Development Zone, Feidong County, Hefei City, Anhui Provience, 231600, P.R.China</w:t>
            </w:r>
          </w:p>
        </w:tc>
        <w:tc>
          <w:tcPr>
            <w:tcW w:w="1400" w:type="dxa"/>
          </w:tcPr>
          <w:p>
            <w:pPr>
              <w:snapToGrid w:val="0"/>
              <w:spacing w:line="0" w:lineRule="atLeast"/>
              <w:jc w:val="left"/>
              <w:rPr>
                <w:sz w:val="22"/>
                <w:szCs w:val="22"/>
                <w:highlight w:val="none"/>
              </w:rPr>
            </w:pPr>
            <w:r>
              <w:rPr>
                <w:rFonts w:hint="eastAsia"/>
                <w:sz w:val="22"/>
                <w:szCs w:val="22"/>
                <w:highlight w:val="none"/>
              </w:rPr>
              <w:t>FSMS</w:t>
            </w:r>
          </w:p>
        </w:tc>
        <w:tc>
          <w:tcPr>
            <w:tcW w:w="3921" w:type="dxa"/>
            <w:gridSpan w:val="3"/>
          </w:tcPr>
          <w:p>
            <w:pPr>
              <w:snapToGrid w:val="0"/>
              <w:spacing w:line="0" w:lineRule="atLeast"/>
              <w:jc w:val="left"/>
              <w:rPr>
                <w:sz w:val="22"/>
                <w:szCs w:val="22"/>
                <w:highlight w:val="yellow"/>
              </w:rPr>
            </w:pPr>
            <w:r>
              <w:t xml:space="preserve">Fruit products(raisin production, jujube packaging) and nut products (walnut packaging) in plant of Anhui Xueyu Yanguo Foods Co., Ltd., located in </w:t>
            </w:r>
            <w:r>
              <w:rPr>
                <w:rFonts w:hint="eastAsia"/>
              </w:rPr>
              <w:t>South</w:t>
            </w:r>
            <w:r>
              <w:t xml:space="preserve"> Side  </w:t>
            </w:r>
            <w:r>
              <w:rPr>
                <w:rFonts w:hint="eastAsia"/>
              </w:rPr>
              <w:t>Tuanjie Road, Economic Development Zone, Feidong County, Hefei City, Anhui Provience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highlight w:val="none"/>
              </w:rPr>
            </w:pPr>
          </w:p>
        </w:tc>
        <w:tc>
          <w:tcPr>
            <w:tcW w:w="3065" w:type="dxa"/>
            <w:vMerge w:val="continue"/>
          </w:tcPr>
          <w:p>
            <w:pPr>
              <w:snapToGrid w:val="0"/>
              <w:spacing w:line="0" w:lineRule="atLeast"/>
              <w:jc w:val="left"/>
              <w:rPr>
                <w:rFonts w:cs="Arial"/>
                <w:b/>
                <w:bCs/>
                <w:sz w:val="22"/>
                <w:szCs w:val="16"/>
                <w:highlight w:val="none"/>
              </w:rPr>
            </w:pPr>
          </w:p>
        </w:tc>
        <w:tc>
          <w:tcPr>
            <w:tcW w:w="1400" w:type="dxa"/>
          </w:tcPr>
          <w:p>
            <w:pPr>
              <w:snapToGrid w:val="0"/>
              <w:spacing w:line="0" w:lineRule="atLeast"/>
              <w:jc w:val="left"/>
              <w:rPr>
                <w:sz w:val="22"/>
                <w:szCs w:val="22"/>
                <w:highlight w:val="none"/>
              </w:rPr>
            </w:pPr>
            <w:r>
              <w:rPr>
                <w:rFonts w:hint="eastAsia"/>
                <w:sz w:val="22"/>
                <w:szCs w:val="22"/>
                <w:highlight w:val="none"/>
              </w:rPr>
              <w:t>HACCP</w:t>
            </w:r>
          </w:p>
        </w:tc>
        <w:tc>
          <w:tcPr>
            <w:tcW w:w="3921" w:type="dxa"/>
            <w:gridSpan w:val="3"/>
          </w:tcPr>
          <w:p>
            <w:pPr>
              <w:snapToGrid w:val="0"/>
              <w:spacing w:line="0" w:lineRule="atLeast"/>
              <w:jc w:val="left"/>
              <w:rPr>
                <w:sz w:val="22"/>
                <w:szCs w:val="22"/>
                <w:highlight w:val="yellow"/>
              </w:rPr>
            </w:pPr>
            <w:r>
              <w:t xml:space="preserve">Fruit products(raisin production, jujube packaging) and nut products (walnut packaging) in plant of Anhui Xueyu Yanguo Foods Co., Ltd., located in </w:t>
            </w:r>
            <w:r>
              <w:rPr>
                <w:rFonts w:hint="eastAsia"/>
              </w:rPr>
              <w:t>South</w:t>
            </w:r>
            <w:r>
              <w:t xml:space="preserve"> Side  </w:t>
            </w:r>
            <w:r>
              <w:rPr>
                <w:rFonts w:hint="eastAsia"/>
              </w:rPr>
              <w:t>Tuanjie Road, Economic Development Zone, Feidong County, Hefei City, Anhui Provience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525"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50" w:type="dxa"/>
          </w:tcPr>
          <w:p>
            <w:pPr>
              <w:snapToGrid w:val="0"/>
              <w:spacing w:line="0" w:lineRule="atLeast"/>
              <w:jc w:val="left"/>
              <w:rPr>
                <w:sz w:val="22"/>
                <w:szCs w:val="22"/>
              </w:rPr>
            </w:pPr>
            <w:r>
              <w:rPr>
                <w:rFonts w:hint="eastAsia"/>
                <w:sz w:val="22"/>
                <w:szCs w:val="18"/>
              </w:rPr>
              <w:t>审核组长签字</w:t>
            </w:r>
          </w:p>
        </w:tc>
        <w:tc>
          <w:tcPr>
            <w:tcW w:w="1511" w:type="dxa"/>
          </w:tcPr>
          <w:p>
            <w:pPr>
              <w:snapToGrid w:val="0"/>
              <w:spacing w:line="0" w:lineRule="atLeast"/>
              <w:jc w:val="left"/>
              <w:rPr>
                <w:sz w:val="22"/>
                <w:szCs w:val="22"/>
              </w:rPr>
            </w:pPr>
          </w:p>
        </w:tc>
      </w:tr>
    </w:tbl>
    <w:p>
      <w:pPr>
        <w:snapToGrid w:val="0"/>
        <w:spacing w:line="240" w:lineRule="auto"/>
        <w:rPr>
          <w:sz w:val="21"/>
          <w:szCs w:val="21"/>
        </w:rPr>
      </w:pPr>
      <w:r>
        <w:rPr>
          <w:rFonts w:hint="eastAsia"/>
          <w:sz w:val="21"/>
          <w:szCs w:val="21"/>
        </w:rPr>
        <w:t>注：</w:t>
      </w:r>
    </w:p>
    <w:p>
      <w:pPr>
        <w:snapToGrid w:val="0"/>
        <w:spacing w:line="240" w:lineRule="auto"/>
        <w:rPr>
          <w:sz w:val="21"/>
          <w:szCs w:val="21"/>
        </w:rPr>
      </w:pPr>
      <w:r>
        <w:rPr>
          <w:rFonts w:hint="eastAsia"/>
          <w:sz w:val="21"/>
          <w:szCs w:val="21"/>
        </w:rPr>
        <w:t>1、填写本说明并不代表贵单位已通过认证；</w:t>
      </w:r>
    </w:p>
    <w:p>
      <w:pPr>
        <w:snapToGrid w:val="0"/>
        <w:spacing w:line="240" w:lineRule="auto"/>
        <w:rPr>
          <w:sz w:val="21"/>
          <w:szCs w:val="21"/>
        </w:rPr>
      </w:pPr>
      <w:r>
        <w:rPr>
          <w:rFonts w:hint="eastAsia"/>
          <w:sz w:val="21"/>
          <w:szCs w:val="21"/>
        </w:rPr>
        <w:t>2、本说明中填写的管理体系覆盖范围，应与末次会议上宣布的及审核报告上确认的范围一致；</w:t>
      </w:r>
    </w:p>
    <w:p>
      <w:pPr>
        <w:snapToGrid w:val="0"/>
        <w:spacing w:line="240" w:lineRule="auto"/>
        <w:rPr>
          <w:sz w:val="21"/>
          <w:szCs w:val="21"/>
        </w:rPr>
      </w:pPr>
      <w:r>
        <w:rPr>
          <w:rFonts w:hint="eastAsia"/>
          <w:sz w:val="21"/>
          <w:szCs w:val="21"/>
        </w:rPr>
        <w:t>3、请在申请认证组织名称处加盖公章；</w:t>
      </w:r>
    </w:p>
    <w:p>
      <w:pPr>
        <w:snapToGrid w:val="0"/>
        <w:spacing w:line="240" w:lineRule="auto"/>
        <w:rPr>
          <w:sz w:val="21"/>
          <w:szCs w:val="21"/>
        </w:rPr>
      </w:pPr>
      <w:r>
        <w:rPr>
          <w:rFonts w:hint="eastAsia"/>
          <w:sz w:val="21"/>
          <w:szCs w:val="21"/>
        </w:rPr>
        <w:t>4、组织三个地址一致时只需填写一个，其余填“同上”，不同时分别填写；</w:t>
      </w:r>
    </w:p>
    <w:p>
      <w:pPr>
        <w:snapToGrid w:val="0"/>
        <w:spacing w:line="240" w:lineRule="auto"/>
        <w:rPr>
          <w:sz w:val="21"/>
          <w:szCs w:val="21"/>
        </w:rPr>
      </w:pPr>
      <w:r>
        <w:rPr>
          <w:rFonts w:hint="eastAsia"/>
          <w:sz w:val="21"/>
          <w:szCs w:val="21"/>
        </w:rPr>
        <w:t>5、组织需自行提供英文版认证证书信息。</w:t>
      </w:r>
    </w:p>
    <w:p>
      <w:pPr>
        <w:snapToGrid w:val="0"/>
        <w:spacing w:line="240" w:lineRule="auto"/>
        <w:rPr>
          <w:sz w:val="21"/>
          <w:szCs w:val="21"/>
        </w:rPr>
      </w:pPr>
      <w:r>
        <w:rPr>
          <w:rFonts w:hint="eastAsia"/>
          <w:sz w:val="21"/>
          <w:szCs w:val="21"/>
        </w:rPr>
        <w:t>6、组织如不能自行提供英文信息的，公司可协助翻译，组织需缴纳翻译费200元；</w:t>
      </w:r>
    </w:p>
    <w:p>
      <w:pPr>
        <w:snapToGrid w:val="0"/>
        <w:spacing w:line="240" w:lineRule="auto"/>
        <w:rPr>
          <w:sz w:val="21"/>
          <w:szCs w:val="21"/>
          <w:lang w:val="en-GB"/>
        </w:rPr>
      </w:pPr>
      <w:r>
        <w:rPr>
          <w:rFonts w:hint="eastAsia"/>
          <w:sz w:val="21"/>
          <w:szCs w:val="21"/>
        </w:rPr>
        <w:t>7、翻译费用可直接与审核费用一同汇入我公司账户或由审核组长从现场带回。</w:t>
      </w:r>
      <w:bookmarkStart w:id="21" w:name="_GoBack"/>
      <w:bookmarkEnd w:id="21"/>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270" b="10160"/>
              <wp:wrapNone/>
              <wp:docPr id="2" name="文本框 1"/>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文本框 1"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UAsCNgAAAAJAQAADwAAAAAAAAABACAAAAAiAAAAZHJzL2Rvd25yZXYu&#10;eG1sUEsBAhQAFAAAAAgAh07iQMU51BP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6F"/>
    <w:rsid w:val="004E3192"/>
    <w:rsid w:val="006E4C6F"/>
    <w:rsid w:val="008757BF"/>
    <w:rsid w:val="009D1B5A"/>
    <w:rsid w:val="63C731FE"/>
    <w:rsid w:val="724A3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ody Text Indent"/>
    <w:basedOn w:val="1"/>
    <w:link w:val="8"/>
    <w:qFormat/>
    <w:uiPriority w:val="0"/>
    <w:pPr>
      <w:snapToGrid w:val="0"/>
      <w:spacing w:line="336" w:lineRule="auto"/>
      <w:ind w:firstLine="630"/>
    </w:pPr>
    <w:rPr>
      <w:sz w:val="32"/>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3"/>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334</Words>
  <Characters>1906</Characters>
  <Lines>15</Lines>
  <Paragraphs>4</Paragraphs>
  <TotalTime>15</TotalTime>
  <ScaleCrop>false</ScaleCrop>
  <LinksUpToDate>false</LinksUpToDate>
  <CharactersWithSpaces>2236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2021-08-29T01:07:55Z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1AFEA96668674CAFA42B2EA80D90B56D</vt:lpwstr>
  </property>
  <property fmtid="{D5CDD505-2E9C-101B-9397-08002B2CF9AE}" pid="3" name="KSOProductBuildVer">
    <vt:lpwstr>2052-11.1.0.10700</vt:lpwstr>
  </property>
</Properties>
</file>