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■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■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安徽雪域燕果食品有限公司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F：CII-1;CIV-2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H：CII-1;CIV-2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肖新龙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F：CII-1;CIV-2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H：CII-1;CIV-2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邝柏臣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pStyle w:val="2"/>
              <w:spacing w:line="240" w:lineRule="auto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葡萄干生产工艺流程图：</w:t>
            </w:r>
          </w:p>
          <w:p>
            <w:pPr>
              <w:spacing w:line="240" w:lineRule="auto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原辅料验收→投料→管道清洗→气泡清洗→振动冲洗→风干→步料上料→烘干→冷却→激光机挑选→X光机挑选→色选机挑选→人工挑选→金探→称量包装</w:t>
            </w:r>
          </w:p>
          <w:p>
            <w:pPr>
              <w:pStyle w:val="2"/>
              <w:spacing w:line="240" w:lineRule="auto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核桃分装工艺流程：原材料验收→人工挑选→装袋称重→封箱入库</w:t>
            </w:r>
          </w:p>
          <w:p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红枣分装工艺流程：原材料验收→人工挑选→装袋称重→封箱入库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葡萄干：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 原辅料采购及验收过程：重金属、农残、二氧化硫残留量超标、</w:t>
            </w:r>
          </w:p>
          <w:p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生产过程环境温湿度控制:温度、湿度超标，葡萄干表面发粘容易沾染杂菌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枣：原辅料采购及验收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过程：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重金属、农残、二氧化硫残留量超标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核桃：原辅料采购及验收过程：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重金属、农残、二氧化硫残留量超标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葡萄干：重金属、农残、二氧化硫残留量超标、致病菌（沙门、大肠杆菌O157:H7等）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枣：重金属、农残</w:t>
            </w:r>
          </w:p>
          <w:p>
            <w:pPr>
              <w:pStyle w:val="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核桃：重金属、农残、二氧化硫残留量、酸价、过氧化值</w:t>
            </w:r>
          </w:p>
          <w:p>
            <w:pPr>
              <w:snapToGrid w:val="0"/>
              <w:spacing w:line="280" w:lineRule="exact"/>
              <w:jc w:val="both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通过原料采购验收进行控制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Q/XYYG0001S-2019 干制品、中华人民共和国食品安全法、GB/T5835-2009 干燥制品、GB 19300 食品安全国家标准 坚果及籽类食品、GB14881-2013 食品安全国家标准 食品生产企业通用卫生规范、CCAA0018-2014食品安全管理体系 坚果加工企业要求、CCAA0020-2014食品安全管理体系 果蔬制品生产企业要求、GB 2763-2019食品安全国家标准 食品中农药最大残留量 、GB 2762-2017食品安全国家标准 食品中污染物限量 、GB 2761-2017食品安全国家标</w:t>
            </w:r>
            <w:bookmarkStart w:id="9" w:name="_GoBack"/>
            <w:bookmarkEnd w:id="9"/>
            <w:r>
              <w:rPr>
                <w:rFonts w:hint="eastAsia"/>
                <w:b/>
                <w:sz w:val="20"/>
                <w:lang w:val="en-US" w:eastAsia="zh-CN"/>
              </w:rPr>
              <w:t>准 食品中真菌毒素限量 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型检：半年1次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葡萄干检验项目：水分、感官、重金属、农残、致病菌、二氧化硫残留量等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检验项目：水分、感官、重金属、农残、致病菌、二氧化硫残留量等</w:t>
            </w:r>
          </w:p>
          <w:p>
            <w:pPr>
              <w:snapToGrid w:val="0"/>
              <w:spacing w:line="280" w:lineRule="exact"/>
              <w:jc w:val="both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核桃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检验项目：水分、感官、重金属、农残、致病菌、酸价、过氧化值、黄曲霉毒素B1、二氧化硫残留量等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掌握食品安全的相关知识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B59E95"/>
    <w:multiLevelType w:val="singleLevel"/>
    <w:tmpl w:val="44B59E9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2273B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肖新龙</cp:lastModifiedBy>
  <dcterms:modified xsi:type="dcterms:W3CDTF">2021-08-29T01:38:43Z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2052-11.1.0.10700</vt:lpwstr>
  </property>
</Properties>
</file>