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财务部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lang w:val="en-US" w:eastAsia="zh-CN"/>
              </w:rPr>
              <w:t>钱国英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张静（仅远程）、张磊</w:t>
            </w:r>
            <w:r>
              <w:rPr>
                <w:color w:val="1D41D5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2020-05-27下午—28号下午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EO：6.1.2  7.1  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</w:rPr>
              <w:t>危险源辨识、风险评价和控制措施的确定程序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禁止乱接乱接、日常检查电源线是否老化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GB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综合部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操作现场禁止吸烟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安全用电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综合部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vMerge w:val="restart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环境因素</w:t>
            </w:r>
          </w:p>
        </w:tc>
        <w:tc>
          <w:tcPr>
            <w:tcW w:w="960" w:type="dxa"/>
            <w:vMerge w:val="restart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E6.1.2</w:t>
            </w:r>
          </w:p>
          <w:p>
            <w:r>
              <w:rPr>
                <w:rFonts w:hint="eastAsia"/>
                <w:color w:val="000000"/>
                <w:szCs w:val="21"/>
              </w:rPr>
              <w:t> </w:t>
            </w:r>
          </w:p>
        </w:tc>
        <w:tc>
          <w:tcPr>
            <w:tcW w:w="74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r>
              <w:rPr>
                <w:rFonts w:hint="eastAsia"/>
              </w:rPr>
              <w:t>如：手册第6.1.2条款、《环境因素识别与评价控制程序》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center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责相关的主要环境因素及其控制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集中回收，交外包专业供方统一处理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</w:tbl>
          <w:p/>
        </w:tc>
        <w:tc>
          <w:tcPr>
            <w:tcW w:w="1585" w:type="dxa"/>
            <w:vMerge w:val="continue"/>
            <w:tcBorders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资源提供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auto"/>
                <w:lang w:val="en-US" w:eastAsia="zh-CN"/>
              </w:rPr>
              <w:t>EO7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手册第4.4.1章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查看</w:t>
            </w:r>
            <w:r>
              <w:rPr>
                <w:rFonts w:hint="eastAsia"/>
                <w:color w:val="auto"/>
                <w:lang w:val="en-US" w:eastAsia="zh-CN"/>
              </w:rPr>
              <w:t xml:space="preserve">对职业健康安全有关的费用包括：查看《环境安全相关费用》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三同时：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安全评价费用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职业病危害评价费用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其他：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体检费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安全监测费用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特种设备检测费用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人员资质培训和考试费 </w:t>
            </w:r>
          </w:p>
          <w:p>
            <w:pPr>
              <w:ind w:firstLine="840" w:firstLineChars="4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消防检测费用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消防维保费用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监视和测量设备检定费用  </w:t>
            </w:r>
          </w:p>
          <w:p>
            <w:pPr>
              <w:ind w:firstLine="840" w:firstLineChars="4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消防设施运行费用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应急费用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工伤赔偿费用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 xml:space="preserve">其他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  <w:p>
            <w:pPr>
              <w:ind w:firstLine="840" w:firstLineChars="40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能源和资源消耗：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能源消耗费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资源消耗费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废弃物排放：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危废处理费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环境监测费用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其他：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特种设备检测费用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人员资质培训和考试费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消防检测费用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消防维保费用 </w:t>
            </w:r>
          </w:p>
          <w:p>
            <w:p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监视和测量设备检定费用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环境影响评价费用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环保设备运行费用 </w:t>
            </w:r>
          </w:p>
          <w:p>
            <w:pPr>
              <w:ind w:firstLine="84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消防设施运行费用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应急费用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罚款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本年度上述内容的预算大约人民币</w:t>
            </w:r>
            <w:r>
              <w:rPr>
                <w:rFonts w:hint="eastAsia" w:ascii="Calibri" w:hAnsi="Calibri"/>
                <w:color w:val="auto"/>
                <w:u w:val="single"/>
                <w:lang w:val="en-US" w:eastAsia="zh-CN"/>
              </w:rPr>
              <w:t xml:space="preserve"> 80.12万 元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 w:ascii="Arial" w:hAnsi="Arial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2021年6月15日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消防应急演练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方案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83D5C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767C7"/>
    <w:rsid w:val="00EB0164"/>
    <w:rsid w:val="00ED0F62"/>
    <w:rsid w:val="01260C71"/>
    <w:rsid w:val="0148246F"/>
    <w:rsid w:val="01E27364"/>
    <w:rsid w:val="020969E4"/>
    <w:rsid w:val="02113B23"/>
    <w:rsid w:val="021E04B6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505823"/>
    <w:rsid w:val="056577F0"/>
    <w:rsid w:val="056A75E8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4D1326"/>
    <w:rsid w:val="0D682672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0F232A3"/>
    <w:rsid w:val="21A07B88"/>
    <w:rsid w:val="21A34258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C1861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1C7886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A00560"/>
    <w:rsid w:val="2BD60481"/>
    <w:rsid w:val="2BEA3FA7"/>
    <w:rsid w:val="2C2E44D4"/>
    <w:rsid w:val="2C7B6C71"/>
    <w:rsid w:val="2CE67CB5"/>
    <w:rsid w:val="2CFF5FB6"/>
    <w:rsid w:val="2D095658"/>
    <w:rsid w:val="2D357F0D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46443A"/>
    <w:rsid w:val="33562A0D"/>
    <w:rsid w:val="335C55FD"/>
    <w:rsid w:val="33715F28"/>
    <w:rsid w:val="33C65FCE"/>
    <w:rsid w:val="33F07155"/>
    <w:rsid w:val="340C6245"/>
    <w:rsid w:val="34113C74"/>
    <w:rsid w:val="343C4522"/>
    <w:rsid w:val="34763B6D"/>
    <w:rsid w:val="347A0336"/>
    <w:rsid w:val="348376B7"/>
    <w:rsid w:val="34F92D63"/>
    <w:rsid w:val="3545030D"/>
    <w:rsid w:val="35527F1F"/>
    <w:rsid w:val="356E7CA4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E03C8"/>
    <w:rsid w:val="3FA434FD"/>
    <w:rsid w:val="3FB850F1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4E2DBA"/>
    <w:rsid w:val="4352128B"/>
    <w:rsid w:val="435F500F"/>
    <w:rsid w:val="43C730CD"/>
    <w:rsid w:val="44350F69"/>
    <w:rsid w:val="44A567F5"/>
    <w:rsid w:val="45237F18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194E74"/>
    <w:rsid w:val="48262DE5"/>
    <w:rsid w:val="48ED577E"/>
    <w:rsid w:val="494E6F4C"/>
    <w:rsid w:val="495D1E4B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3C3BCC"/>
    <w:rsid w:val="507C26C1"/>
    <w:rsid w:val="50804466"/>
    <w:rsid w:val="50C41CF1"/>
    <w:rsid w:val="51217DA6"/>
    <w:rsid w:val="51294703"/>
    <w:rsid w:val="51425A27"/>
    <w:rsid w:val="5158757E"/>
    <w:rsid w:val="51642DA6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70F9D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CC65B3"/>
    <w:rsid w:val="5FE015B4"/>
    <w:rsid w:val="6018182B"/>
    <w:rsid w:val="601E0F43"/>
    <w:rsid w:val="60250281"/>
    <w:rsid w:val="604E6EEE"/>
    <w:rsid w:val="60596F8D"/>
    <w:rsid w:val="608075E1"/>
    <w:rsid w:val="60E47C4C"/>
    <w:rsid w:val="61326FB1"/>
    <w:rsid w:val="61384C31"/>
    <w:rsid w:val="6151193F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C27554"/>
    <w:rsid w:val="64D069A0"/>
    <w:rsid w:val="64F27E75"/>
    <w:rsid w:val="65067C78"/>
    <w:rsid w:val="65305A43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5D414F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3863F6"/>
    <w:rsid w:val="70795456"/>
    <w:rsid w:val="709946EC"/>
    <w:rsid w:val="71180D95"/>
    <w:rsid w:val="71B20425"/>
    <w:rsid w:val="724D262A"/>
    <w:rsid w:val="72702455"/>
    <w:rsid w:val="728F2E47"/>
    <w:rsid w:val="72973011"/>
    <w:rsid w:val="72A24472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53E2D2E"/>
    <w:rsid w:val="753F2F7D"/>
    <w:rsid w:val="757D4B9C"/>
    <w:rsid w:val="75B40EC2"/>
    <w:rsid w:val="75C1632C"/>
    <w:rsid w:val="75DA6644"/>
    <w:rsid w:val="75DB13A5"/>
    <w:rsid w:val="75E552E3"/>
    <w:rsid w:val="76286C3F"/>
    <w:rsid w:val="7648538B"/>
    <w:rsid w:val="76531223"/>
    <w:rsid w:val="76BD747C"/>
    <w:rsid w:val="76CD52EB"/>
    <w:rsid w:val="76FE004A"/>
    <w:rsid w:val="770413F5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三级条标题"/>
    <w:basedOn w:val="16"/>
    <w:next w:val="14"/>
    <w:qFormat/>
    <w:uiPriority w:val="0"/>
    <w:pPr>
      <w:numPr>
        <w:ilvl w:val="4"/>
        <w:numId w:val="1"/>
      </w:numPr>
      <w:outlineLvl w:val="4"/>
    </w:pPr>
  </w:style>
  <w:style w:type="paragraph" w:customStyle="1" w:styleId="16">
    <w:name w:val="二级条标题"/>
    <w:basedOn w:val="17"/>
    <w:next w:val="14"/>
    <w:qFormat/>
    <w:uiPriority w:val="0"/>
    <w:pPr>
      <w:numPr>
        <w:ilvl w:val="3"/>
        <w:numId w:val="1"/>
      </w:numPr>
      <w:outlineLvl w:val="3"/>
    </w:pPr>
  </w:style>
  <w:style w:type="paragraph" w:customStyle="1" w:styleId="17">
    <w:name w:val="一级条标题"/>
    <w:next w:val="14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2021-09-16T06:17:41Z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2E5538E158294CD7A976D320A1ADEE85</vt:lpwstr>
  </property>
</Properties>
</file>