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业务科</w:t>
            </w:r>
            <w:r>
              <w:rPr>
                <w:rFonts w:hint="eastAsia"/>
                <w:lang w:val="en-US" w:eastAsia="zh-CN"/>
              </w:rPr>
              <w:t xml:space="preserve">   </w:t>
            </w:r>
            <w:r>
              <w:rPr>
                <w:sz w:val="24"/>
                <w:szCs w:val="24"/>
              </w:rPr>
              <w:t xml:space="preserve">  </w:t>
            </w:r>
            <w:r>
              <w:rPr>
                <w:rFonts w:hint="eastAsia"/>
                <w:sz w:val="24"/>
                <w:szCs w:val="24"/>
                <w:lang w:val="en-US" w:eastAsia="zh-CN"/>
              </w:rPr>
              <w:t xml:space="preserve">   </w:t>
            </w:r>
            <w:r>
              <w:rPr>
                <w:rFonts w:hint="eastAsia"/>
                <w:sz w:val="24"/>
                <w:szCs w:val="24"/>
              </w:rPr>
              <w:t>陪同人员：</w:t>
            </w:r>
            <w:bookmarkStart w:id="0" w:name="联系人"/>
            <w:r>
              <w:rPr>
                <w:rFonts w:hint="eastAsia" w:eastAsia="宋体"/>
                <w:sz w:val="24"/>
                <w:szCs w:val="24"/>
                <w:lang w:val="en-US" w:eastAsia="zh-CN"/>
              </w:rPr>
              <w:t>蒋世鳌</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张磊</w:t>
            </w:r>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2021-09-15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eastAsia"/>
              </w:rPr>
            </w:pPr>
            <w:r>
              <w:rPr>
                <w:rFonts w:hint="eastAsia"/>
                <w:sz w:val="24"/>
                <w:szCs w:val="24"/>
              </w:rPr>
              <w:t>审核条款：6.1.2</w:t>
            </w:r>
            <w:r>
              <w:rPr>
                <w:rFonts w:hint="eastAsia"/>
                <w:sz w:val="24"/>
                <w:szCs w:val="24"/>
                <w:lang w:val="en-US" w:eastAsia="zh-CN"/>
              </w:rPr>
              <w:t>/6.2/8.1</w:t>
            </w:r>
            <w:bookmarkStart w:id="1" w:name="_GoBack"/>
            <w:bookmarkEnd w:id="1"/>
            <w:r>
              <w:rPr>
                <w:rFonts w:hint="eastAsia"/>
                <w:sz w:val="24"/>
                <w:szCs w:val="24"/>
                <w:lang w:val="en-US" w:eastAsia="zh-CN"/>
              </w:rPr>
              <w:t>/</w:t>
            </w:r>
            <w:r>
              <w:rPr>
                <w:rFonts w:hint="eastAsia"/>
                <w:sz w:val="24"/>
                <w:szCs w:val="24"/>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u w:val="none"/>
                <w:vertAlign w:val="baseline"/>
                <w:lang w:val="en-US" w:eastAsia="zh-CN"/>
              </w:rPr>
              <w:t>与</w:t>
            </w:r>
            <w:r>
              <w:rPr>
                <w:rFonts w:hint="eastAsia"/>
                <w:b/>
                <w:bCs/>
                <w:u w:val="none"/>
                <w:vertAlign w:val="baseline"/>
                <w:lang w:val="en-US" w:eastAsia="zh-CN"/>
              </w:rPr>
              <w:t>部门职</w:t>
            </w:r>
            <w:r>
              <w:rPr>
                <w:rFonts w:hint="eastAsia"/>
                <w:b/>
                <w:bCs/>
                <w:szCs w:val="22"/>
                <w:u w:val="none"/>
                <w:vertAlign w:val="baseline"/>
                <w:lang w:val="en-US" w:eastAsia="zh-CN"/>
              </w:rPr>
              <w:t>责相关的主要危险源及其控制</w:t>
            </w:r>
            <w:r>
              <w:rPr>
                <w:rFonts w:hint="eastAsia"/>
                <w:b/>
                <w:bCs/>
                <w:vertAlign w:val="baseline"/>
                <w:lang w:val="en-US" w:eastAsia="zh-CN"/>
              </w:rPr>
              <w:t>措施</w:t>
            </w:r>
            <w:r>
              <w:rPr>
                <w:rFonts w:hint="eastAsia"/>
                <w:b/>
                <w:bCs/>
                <w:vertAlign w:val="baseline"/>
                <w:lang w:eastAsia="zh-CN"/>
              </w:rPr>
              <w:t>是</w:t>
            </w:r>
            <w:r>
              <w:rPr>
                <w:rFonts w:hint="eastAsia"/>
                <w:vertAlign w:val="baseline"/>
                <w:lang w:eastAsia="zh-CN"/>
              </w:rPr>
              <w:t>：</w:t>
            </w:r>
          </w:p>
          <w:tbl>
            <w:tblPr>
              <w:tblStyle w:val="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280"/>
              <w:gridCol w:w="3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主要危险源</w:t>
                  </w:r>
                </w:p>
              </w:tc>
              <w:tc>
                <w:tcPr>
                  <w:tcW w:w="22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360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22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GB" w:eastAsia="zh-CN" w:bidi="ar-SA"/>
                    </w:rPr>
                  </w:pPr>
                  <w:r>
                    <w:rPr>
                      <w:rFonts w:hint="eastAsia"/>
                      <w:sz w:val="24"/>
                    </w:rPr>
                    <w:t>禁止乱接乱接、日常检查电源线是否老化</w:t>
                  </w:r>
                </w:p>
              </w:tc>
              <w:tc>
                <w:tcPr>
                  <w:tcW w:w="1309"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lang w:val="en-GB" w:eastAsia="zh-CN" w:bidi="ar-SA"/>
                    </w:rPr>
                  </w:pPr>
                  <w:r>
                    <w:rPr>
                      <w:rFonts w:hint="eastAsia"/>
                      <w:sz w:val="24"/>
                      <w:szCs w:val="24"/>
                      <w:lang w:val="en-US" w:eastAsia="zh-CN"/>
                    </w:rPr>
                    <w:t>业务科</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s="Times New Roman"/>
                      <w:color w:val="auto"/>
                      <w:kern w:val="2"/>
                      <w:sz w:val="21"/>
                      <w:szCs w:val="24"/>
                      <w:highlight w:val="none"/>
                      <w:vertAlign w:val="baseline"/>
                      <w:lang w:val="en-US" w:eastAsia="zh-CN" w:bidi="ar-SA"/>
                    </w:rPr>
                    <w:t>火灾</w:t>
                  </w:r>
                </w:p>
              </w:tc>
              <w:tc>
                <w:tcPr>
                  <w:tcW w:w="22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Times New Roman"/>
                      <w:kern w:val="2"/>
                      <w:sz w:val="21"/>
                      <w:szCs w:val="24"/>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lang w:val="en-US" w:eastAsia="zh-CN"/>
                    </w:rPr>
                  </w:pPr>
                  <w:r>
                    <w:rPr>
                      <w:rFonts w:hint="eastAsia" w:ascii="宋体" w:hAnsi="宋体"/>
                      <w:lang w:val="en-US" w:eastAsia="zh-CN"/>
                    </w:rPr>
                    <w:t>业务科</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重大安全事故</w:t>
                  </w:r>
                </w:p>
                <w:p>
                  <w:pPr>
                    <w:keepNext w:val="0"/>
                    <w:keepLines w:val="0"/>
                    <w:suppressLineNumbers w:val="0"/>
                    <w:spacing w:before="0" w:beforeAutospacing="0" w:after="0" w:afterAutospacing="0"/>
                    <w:ind w:left="0" w:leftChars="0" w:right="0" w:rightChars="0"/>
                    <w:rPr>
                      <w:rFonts w:hint="eastAsia"/>
                      <w:color w:val="auto"/>
                      <w:lang w:eastAsia="zh-CN"/>
                    </w:rPr>
                  </w:pP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GB"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GB" w:eastAsia="zh-CN" w:bidi="ar-SA"/>
                    </w:rPr>
                  </w:pPr>
                  <w:r>
                    <w:rPr>
                      <w:rFonts w:hint="eastAsia" w:cs="Times New Roman"/>
                      <w:color w:val="auto"/>
                      <w:kern w:val="2"/>
                      <w:sz w:val="21"/>
                      <w:szCs w:val="24"/>
                      <w:lang w:val="en-US" w:eastAsia="zh-CN" w:bidi="ar-SA"/>
                    </w:rPr>
                    <w:t>业务科</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Times New Roman"/>
                      <w:color w:val="auto"/>
                      <w:lang w:val="en-GB"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火灾事故</w:t>
                  </w:r>
                </w:p>
                <w:p>
                  <w:pPr>
                    <w:keepNext w:val="0"/>
                    <w:keepLines w:val="0"/>
                    <w:suppressLineNumbers w:val="0"/>
                    <w:spacing w:before="0" w:beforeAutospacing="0" w:after="0" w:afterAutospacing="0"/>
                    <w:ind w:left="0" w:leftChars="0" w:right="0" w:rightChars="0"/>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业务科</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leftChars="0" w:right="0" w:rightChars="0"/>
                    <w:rPr>
                      <w:rFonts w:hint="eastAsia"/>
                      <w:color w:val="auto"/>
                    </w:rPr>
                  </w:pPr>
                  <w:r>
                    <w:rPr>
                      <w:rFonts w:hint="eastAsia"/>
                      <w:color w:val="auto"/>
                    </w:rPr>
                    <w:t>办公场所分类处理各类废弃物，有专门收集箱并标识，回收处理率</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cs="Times New Roman"/>
                      <w:color w:val="auto"/>
                      <w:kern w:val="2"/>
                      <w:sz w:val="21"/>
                      <w:szCs w:val="24"/>
                      <w:lang w:val="en-US" w:eastAsia="zh-CN" w:bidi="ar-SA"/>
                    </w:rPr>
                  </w:pPr>
                  <w:r>
                    <w:rPr>
                      <w:rFonts w:hint="eastAsia"/>
                      <w:color w:val="auto"/>
                    </w:rPr>
                    <w:t>100%.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业务科</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lang w:val="en-US" w:eastAsia="zh-CN"/>
                    </w:rPr>
                  </w:pPr>
                  <w:r>
                    <w:rPr>
                      <w:rFonts w:hint="eastAsia"/>
                      <w:color w:val="auto"/>
                    </w:rPr>
                    <w:t>100%.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Merge w:val="restart"/>
            <w:vAlign w:val="top"/>
          </w:tcPr>
          <w:p>
            <w:pPr>
              <w:rPr>
                <w:rFonts w:hint="eastAsia"/>
                <w:lang w:val="en-US" w:eastAsia="zh-CN"/>
              </w:rPr>
            </w:pPr>
            <w:r>
              <w:rPr>
                <w:rFonts w:hint="eastAsia"/>
                <w:lang w:val="en-US" w:eastAsia="zh-CN"/>
              </w:rPr>
              <w:t>消除危险源和降低职业健康安全风险</w:t>
            </w:r>
          </w:p>
        </w:tc>
        <w:tc>
          <w:tcPr>
            <w:tcW w:w="960" w:type="dxa"/>
            <w:vMerge w:val="restart"/>
            <w:vAlign w:val="top"/>
          </w:tcPr>
          <w:p>
            <w:pPr>
              <w:rPr>
                <w:rFonts w:hint="eastAsia"/>
                <w:lang w:val="en-US" w:eastAsia="zh-CN"/>
              </w:rPr>
            </w:pPr>
            <w:r>
              <w:rPr>
                <w:rFonts w:hint="eastAsia"/>
                <w:lang w:val="en-US" w:eastAsia="zh-CN"/>
              </w:rPr>
              <w:t>O</w:t>
            </w:r>
            <w:r>
              <w:rPr>
                <w:rFonts w:hint="eastAsia"/>
              </w:rPr>
              <w:t>8.</w:t>
            </w:r>
            <w:r>
              <w:rPr>
                <w:rFonts w:hint="eastAsia"/>
                <w:lang w:val="en-US" w:eastAsia="zh-CN"/>
              </w:rPr>
              <w:t>1</w:t>
            </w:r>
          </w:p>
        </w:tc>
        <w:tc>
          <w:tcPr>
            <w:tcW w:w="745" w:type="dxa"/>
            <w:vAlign w:val="top"/>
          </w:tcPr>
          <w:p>
            <w:pPr>
              <w:rPr>
                <w:rFonts w:hint="eastAsia"/>
                <w:color w:val="auto"/>
                <w:lang w:val="en-US" w:eastAsia="zh-CN"/>
              </w:rPr>
            </w:pPr>
            <w:r>
              <w:rPr>
                <w:rFonts w:hint="eastAsia"/>
                <w:color w:val="auto"/>
                <w:lang w:val="en-US" w:eastAsia="zh-CN"/>
              </w:rPr>
              <w:t>文件名称</w:t>
            </w:r>
          </w:p>
        </w:tc>
        <w:tc>
          <w:tcPr>
            <w:tcW w:w="9259" w:type="dxa"/>
            <w:vAlign w:val="top"/>
          </w:tcPr>
          <w:p>
            <w:pPr>
              <w:rPr>
                <w:rFonts w:hint="eastAsia"/>
                <w:color w:val="auto"/>
                <w:lang w:val="en-US" w:eastAsia="zh-CN"/>
              </w:rPr>
            </w:pPr>
            <w:r>
              <w:rPr>
                <w:rFonts w:hint="eastAsia"/>
                <w:color w:val="auto"/>
                <w:lang w:val="en-US" w:eastAsia="zh-CN"/>
              </w:rPr>
              <w:t>如：《危险源辨识、风险评价和控制措施的确定程序》，《环境和职业健康安全运行控制管理程序》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Merge w:val="continue"/>
            <w:vAlign w:val="top"/>
          </w:tcPr>
          <w:p>
            <w:pPr>
              <w:rPr>
                <w:rFonts w:hint="eastAsia"/>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color w:val="auto"/>
                <w:lang w:val="en-US" w:eastAsia="zh-CN"/>
              </w:rPr>
            </w:pPr>
            <w:r>
              <w:rPr>
                <w:rFonts w:hint="eastAsia"/>
                <w:color w:val="auto"/>
                <w:lang w:val="en-US" w:eastAsia="zh-CN"/>
              </w:rPr>
              <w:t>运行证据</w:t>
            </w:r>
          </w:p>
        </w:tc>
        <w:tc>
          <w:tcPr>
            <w:tcW w:w="9259" w:type="dxa"/>
            <w:vAlign w:val="top"/>
          </w:tcPr>
          <w:p>
            <w:pPr>
              <w:rPr>
                <w:rFonts w:hint="eastAsia"/>
                <w:lang w:val="zh-CN"/>
              </w:rPr>
            </w:pPr>
            <w:r>
              <w:rPr>
                <w:rFonts w:hint="eastAsia"/>
                <w:lang w:val="zh-CN"/>
              </w:rPr>
              <w:t>1、办公区域：生活污水排放至城市管网。噪声：办公现场不产生明显噪声。</w:t>
            </w:r>
          </w:p>
          <w:p>
            <w:pPr>
              <w:rPr>
                <w:rFonts w:hint="eastAsia"/>
                <w:lang w:val="zh-CN"/>
              </w:rPr>
            </w:pPr>
            <w:r>
              <w:rPr>
                <w:rFonts w:hint="eastAsia"/>
                <w:lang w:val="zh-CN"/>
              </w:rPr>
              <w:t>固废：固体废物主要是生活垃圾、办公产生废纸张废包装物等，配置了垃圾桶、可回收箱分类处置；办公用纸由综合部负责，复印、打印耗材都有综合部统一负责，集中处置。</w:t>
            </w:r>
          </w:p>
          <w:p>
            <w:pPr>
              <w:rPr>
                <w:rFonts w:hint="eastAsia"/>
                <w:lang w:val="zh-CN"/>
              </w:rPr>
            </w:pPr>
            <w:r>
              <w:rPr>
                <w:rFonts w:hint="eastAsia"/>
                <w:lang w:val="zh-CN"/>
              </w:rPr>
              <w:t>2、办公过程注意节约用电，做到人走灯灭，电脑长时间不用时关机，下班前要关闭电源，防止触电。</w:t>
            </w:r>
          </w:p>
          <w:p>
            <w:pPr>
              <w:rPr>
                <w:rFonts w:hint="eastAsia"/>
                <w:lang w:val="zh-CN"/>
              </w:rPr>
            </w:pPr>
            <w:r>
              <w:rPr>
                <w:rFonts w:hint="eastAsia"/>
                <w:lang w:val="zh-CN"/>
              </w:rPr>
              <w:t>3、办公区域禁止吸烟，查看办公区域环境整洁、宽敞、办公设备状态良好、无安全隐患。</w:t>
            </w:r>
          </w:p>
          <w:p>
            <w:pPr>
              <w:rPr>
                <w:rFonts w:hint="eastAsia"/>
                <w:lang w:val="zh-CN"/>
              </w:rPr>
            </w:pPr>
            <w:r>
              <w:rPr>
                <w:rFonts w:hint="eastAsia"/>
                <w:lang w:val="zh-CN"/>
              </w:rPr>
              <w:t>4、工作时间平均每天不超过8小时。</w:t>
            </w:r>
          </w:p>
          <w:p>
            <w:pPr>
              <w:rPr>
                <w:rFonts w:hint="eastAsia"/>
                <w:lang w:val="zh-CN"/>
              </w:rPr>
            </w:pPr>
            <w:r>
              <w:rPr>
                <w:rFonts w:hint="eastAsia"/>
                <w:lang w:val="zh-CN"/>
              </w:rPr>
              <w:t>5、查看办公区域，整洁、光线充足、室内空气良好，办公条件较好，办公设备安全状态良好，教育员工正确使用办公设备，规范用电，无乱拉线现象，防止火灾发生。</w:t>
            </w:r>
          </w:p>
          <w:p>
            <w:pPr>
              <w:rPr>
                <w:rFonts w:hint="eastAsia"/>
                <w:lang w:val="zh-CN"/>
              </w:rPr>
            </w:pPr>
            <w:r>
              <w:rPr>
                <w:rFonts w:hint="eastAsia"/>
                <w:lang w:val="zh-CN"/>
              </w:rPr>
              <w:t>7、相关方施加影响：公司能够控制或能够施加影响的相关方有顾客等。提供了“致相关方的公开信”，将公司的环境/安全控制要求发放</w:t>
            </w:r>
            <w:r>
              <w:rPr>
                <w:rFonts w:hint="eastAsia"/>
                <w:lang w:val="en-US" w:eastAsia="zh-CN"/>
              </w:rPr>
              <w:t>给</w:t>
            </w:r>
            <w:r>
              <w:rPr>
                <w:rFonts w:hint="eastAsia"/>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pStyle w:val="17"/>
            </w:pPr>
            <w:r>
              <w:rPr>
                <w:rFonts w:hint="eastAsia"/>
                <w:lang w:val="zh-CN"/>
              </w:rPr>
              <w:t>8、要求遵守道路交通法规，不违章驾车，驾驶证和车辆定期年审，确保行车安全。</w:t>
            </w:r>
          </w:p>
          <w:p>
            <w:pPr>
              <w:rPr>
                <w:rFonts w:hint="eastAsia" w:ascii="宋体" w:hAnsi="宋体"/>
                <w:szCs w:val="21"/>
                <w:lang w:val="en-US" w:eastAsia="zh-CN"/>
              </w:rPr>
            </w:pPr>
          </w:p>
          <w:p>
            <w:pPr>
              <w:rPr>
                <w:rFonts w:hint="eastAsia"/>
                <w:color w:val="auto"/>
                <w:lang w:val="en-US" w:eastAsia="zh-CN"/>
              </w:rPr>
            </w:pPr>
            <w:r>
              <w:rPr>
                <w:rFonts w:hint="eastAsia" w:ascii="宋体" w:hAnsi="宋体"/>
                <w:szCs w:val="21"/>
                <w:lang w:val="en-US" w:eastAsia="zh-CN"/>
              </w:rPr>
              <w:t>查看《灭火器点检表》、《消防设点检表》和《安全检查记录表》，日常点检均合格</w:t>
            </w:r>
            <w:r>
              <w:rPr>
                <w:rFonts w:hint="eastAsia" w:ascii="宋体" w:hAnsi="宋体"/>
                <w:szCs w:val="21"/>
              </w:rPr>
              <w:t>近一年无工伤发生；</w:t>
            </w:r>
          </w:p>
          <w:p>
            <w:pPr>
              <w:rPr>
                <w:rFonts w:hint="eastAsia"/>
                <w:color w:val="auto"/>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default" w:eastAsia="宋体"/>
                <w:lang w:val="en-US" w:eastAsia="zh-CN"/>
              </w:rPr>
            </w:pPr>
            <w:r>
              <w:rPr>
                <w:rFonts w:hint="eastAsia"/>
                <w:lang w:val="en-US" w:eastAsia="zh-CN"/>
              </w:rPr>
              <w:t>应急准备和响应</w:t>
            </w:r>
          </w:p>
        </w:tc>
        <w:tc>
          <w:tcPr>
            <w:tcW w:w="960" w:type="dxa"/>
            <w:vMerge w:val="restart"/>
            <w:vAlign w:val="top"/>
          </w:tcPr>
          <w:p>
            <w:r>
              <w:rPr>
                <w:rFonts w:hint="eastAsia"/>
                <w:lang w:val="en-US" w:eastAsia="zh-CN"/>
              </w:rPr>
              <w:t>O</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《应急准备和响应控制程序》、</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《应急预案》</w:t>
            </w:r>
          </w:p>
          <w:p>
            <w:pPr>
              <w:rPr>
                <w:rFonts w:hint="default"/>
                <w:lang w:val="en-US"/>
              </w:rPr>
            </w:pP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 xml:space="preserve">《应急预案》包括：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 xml:space="preserve">消防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工伤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特种设备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触电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其他  </w:t>
            </w:r>
          </w:p>
          <w:p>
            <w:pPr>
              <w:rPr>
                <w:rFonts w:hint="eastAsia"/>
                <w:lang w:val="en-US" w:eastAsia="zh-CN"/>
              </w:rPr>
            </w:pPr>
          </w:p>
          <w:p>
            <w:pPr>
              <w:rPr>
                <w:rFonts w:hint="eastAsia"/>
              </w:rPr>
            </w:pPr>
            <w:r>
              <w:rPr>
                <w:rFonts w:hint="eastAsia"/>
                <w:lang w:val="en-US" w:eastAsia="zh-CN"/>
              </w:rPr>
              <w:t>应急准备和响应的情况</w:t>
            </w:r>
            <w:r>
              <w:rPr>
                <w:rFonts w:hint="eastAsia"/>
              </w:rPr>
              <w:t>：</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vertAlign w:val="baseline"/>
                      <w:lang w:val="en-US" w:eastAsia="zh-CN"/>
                    </w:rPr>
                  </w:pPr>
                  <w:r>
                    <w:rPr>
                      <w:rFonts w:hint="eastAsia"/>
                      <w:vertAlign w:val="baseline"/>
                      <w:lang w:val="en-US" w:eastAsia="zh-CN"/>
                    </w:rPr>
                    <w:t>紧急情况简述</w:t>
                  </w:r>
                </w:p>
              </w:tc>
              <w:tc>
                <w:tcPr>
                  <w:tcW w:w="2084" w:type="dxa"/>
                </w:tcPr>
                <w:p>
                  <w:pPr>
                    <w:rPr>
                      <w:rFonts w:hint="default" w:eastAsia="宋体"/>
                      <w:vertAlign w:val="baseline"/>
                      <w:lang w:val="en-US" w:eastAsia="zh-CN"/>
                    </w:rPr>
                  </w:pPr>
                  <w:r>
                    <w:rPr>
                      <w:rFonts w:hint="eastAsia"/>
                      <w:vertAlign w:val="baseline"/>
                      <w:lang w:val="en-US" w:eastAsia="zh-CN"/>
                    </w:rPr>
                    <w:t>性质</w:t>
                  </w:r>
                </w:p>
              </w:tc>
              <w:tc>
                <w:tcPr>
                  <w:tcW w:w="291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highlight w:val="none"/>
                      <w:vertAlign w:val="baseline"/>
                      <w:lang w:val="en-US" w:eastAsia="zh-CN"/>
                    </w:rPr>
                  </w:pPr>
                  <w:r>
                    <w:rPr>
                      <w:rFonts w:hint="eastAsia"/>
                      <w:highlight w:val="none"/>
                      <w:vertAlign w:val="baseline"/>
                      <w:lang w:val="en-US" w:eastAsia="zh-CN"/>
                    </w:rPr>
                    <w:t>消防</w:t>
                  </w:r>
                </w:p>
                <w:p>
                  <w:pPr>
                    <w:rPr>
                      <w:rFonts w:hint="eastAsia" w:eastAsia="宋体"/>
                      <w:vertAlign w:val="baseline"/>
                      <w:lang w:val="en-US" w:eastAsia="zh-CN"/>
                    </w:rPr>
                  </w:pPr>
                  <w:r>
                    <w:rPr>
                      <w:rFonts w:hint="eastAsia"/>
                      <w:szCs w:val="22"/>
                      <w:highlight w:val="none"/>
                      <w:u w:val="single"/>
                      <w:lang w:val="en-US" w:eastAsia="zh-CN"/>
                    </w:rPr>
                    <w:t>2021年6月15日</w:t>
                  </w:r>
                </w:p>
              </w:tc>
              <w:tc>
                <w:tcPr>
                  <w:tcW w:w="2084" w:type="dxa"/>
                  <w:vAlign w:val="top"/>
                </w:tcPr>
                <w:p>
                  <w:pPr>
                    <w:rPr>
                      <w:rFonts w:hint="eastAsia" w:eastAsia="宋体"/>
                      <w:lang w:val="en-US" w:eastAsia="zh-CN"/>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2913" w:type="dxa"/>
                  <w:vAlign w:val="top"/>
                </w:tcPr>
                <w:p>
                  <w:pPr>
                    <w:rPr>
                      <w:rFonts w:hint="eastAsia"/>
                      <w:vertAlign w:val="baseline"/>
                    </w:rPr>
                  </w:pPr>
                  <w:r>
                    <w:rPr>
                      <w:rFonts w:hint="eastAsia" w:cs="Times New Roman"/>
                      <w:kern w:val="2"/>
                      <w:sz w:val="21"/>
                      <w:szCs w:val="22"/>
                      <w:highlight w:val="none"/>
                      <w:lang w:val="en-US" w:eastAsia="zh-CN" w:bidi="ar-SA"/>
                    </w:rPr>
                    <w:t>消防应急演练</w:t>
                  </w:r>
                  <w:r>
                    <w:rPr>
                      <w:rFonts w:hint="eastAsia" w:ascii="Times New Roman" w:hAnsi="Times New Roman" w:cs="Times New Roman"/>
                      <w:kern w:val="2"/>
                      <w:sz w:val="21"/>
                      <w:szCs w:val="22"/>
                      <w:highlight w:val="none"/>
                      <w:lang w:val="en-US" w:eastAsia="zh-CN" w:bidi="ar-SA"/>
                    </w:rPr>
                    <w:t>方案</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vertAlign w:val="baseline"/>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bl>
          <w:p>
            <w:pPr>
              <w:rPr>
                <w:rFonts w:hint="eastAsia"/>
              </w:rPr>
            </w:pPr>
          </w:p>
          <w:p>
            <w:pPr>
              <w:rPr>
                <w:rFonts w:hint="eastAsia"/>
                <w:lang w:val="en-US" w:eastAsia="zh-CN"/>
              </w:rPr>
            </w:pPr>
            <w:r>
              <w:rPr>
                <w:rFonts w:hint="eastAsia"/>
                <w:lang w:val="en-US" w:eastAsia="zh-CN"/>
              </w:rPr>
              <w:t>对预案</w:t>
            </w:r>
            <w:r>
              <w:rPr>
                <w:rFonts w:hint="eastAsia"/>
                <w:lang w:eastAsia="zh-CN"/>
              </w:rPr>
              <w:t>定期评审</w:t>
            </w:r>
            <w:r>
              <w:rPr>
                <w:rFonts w:hint="eastAsia"/>
                <w:lang w:val="en-US" w:eastAsia="zh-CN"/>
              </w:rPr>
              <w:t>的日期：</w:t>
            </w:r>
            <w:r>
              <w:rPr>
                <w:rFonts w:hint="eastAsia"/>
                <w:u w:val="single"/>
                <w:lang w:val="en-US" w:eastAsia="zh-CN"/>
              </w:rPr>
              <w:t xml:space="preserve">   </w:t>
            </w:r>
            <w:r>
              <w:rPr>
                <w:rFonts w:hint="eastAsia"/>
                <w:highlight w:val="none"/>
                <w:u w:val="single"/>
                <w:lang w:val="en-US" w:eastAsia="zh-CN"/>
              </w:rPr>
              <w:t xml:space="preserve">每次演练后 </w:t>
            </w:r>
            <w:r>
              <w:rPr>
                <w:rFonts w:hint="eastAsia"/>
                <w:u w:val="single"/>
                <w:lang w:val="en-US" w:eastAsia="zh-CN"/>
              </w:rPr>
              <w:t xml:space="preserve">                 </w:t>
            </w:r>
          </w:p>
          <w:p>
            <w:pPr>
              <w:rPr>
                <w:rFonts w:hint="eastAsia"/>
                <w:lang w:eastAsia="zh-CN"/>
              </w:rPr>
            </w:pPr>
            <w:r>
              <w:rPr>
                <w:rFonts w:hint="eastAsia"/>
                <w:lang w:eastAsia="zh-CN"/>
              </w:rPr>
              <w:t>修订响应措施</w:t>
            </w:r>
            <w:r>
              <w:rPr>
                <w:rFonts w:hint="eastAsia"/>
                <w:lang w:val="en-US" w:eastAsia="zh-CN"/>
              </w:rPr>
              <w:t>的内容：</w:t>
            </w:r>
            <w:r>
              <w:rPr>
                <w:rFonts w:hint="eastAsia"/>
                <w:u w:val="single"/>
                <w:lang w:val="en-US" w:eastAsia="zh-CN"/>
              </w:rPr>
              <w:t xml:space="preserve">           无                     </w:t>
            </w:r>
            <w:r>
              <w:rPr>
                <w:rFonts w:hint="eastAsia"/>
                <w:lang w:eastAsia="zh-CN"/>
              </w:rPr>
              <w:t>。</w:t>
            </w:r>
          </w:p>
          <w:p>
            <w:pPr>
              <w:rPr>
                <w:rFonts w:hint="eastAsia"/>
                <w:lang w:val="en-US" w:eastAsia="zh-CN"/>
              </w:rPr>
            </w:pPr>
          </w:p>
          <w:p>
            <w:pPr>
              <w:rPr>
                <w:rFonts w:hint="eastAsia"/>
                <w:lang w:eastAsia="zh-CN"/>
              </w:rPr>
            </w:pPr>
            <w:r>
              <w:rPr>
                <w:rFonts w:hint="eastAsia"/>
                <w:lang w:val="en-US" w:eastAsia="zh-CN"/>
              </w:rPr>
              <w:t xml:space="preserve">《应急预案》在当地环保部门的备案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未实施</w:t>
            </w:r>
          </w:p>
          <w:p>
            <w:pPr>
              <w:rPr>
                <w:rFonts w:hint="default"/>
                <w:lang w:val="en-US" w:eastAsia="zh-CN"/>
              </w:rPr>
            </w:pPr>
          </w:p>
          <w:p>
            <w:pPr>
              <w:rPr>
                <w:rFonts w:hint="eastAsia"/>
                <w:lang w:eastAsia="zh-CN"/>
              </w:rPr>
            </w:pPr>
            <w:r>
              <w:rPr>
                <w:rFonts w:hint="eastAsia"/>
                <w:lang w:val="en-US" w:eastAsia="zh-CN"/>
              </w:rPr>
              <w:t>适当时，向</w:t>
            </w:r>
            <w:r>
              <w:rPr>
                <w:rFonts w:hint="eastAsia"/>
                <w:lang w:eastAsia="zh-CN"/>
              </w:rPr>
              <w:t>有关的相关方，包括组织控制下工作的人员提供相关的培训。</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未实施</w:t>
            </w:r>
          </w:p>
          <w:p/>
        </w:tc>
        <w:tc>
          <w:tcPr>
            <w:tcW w:w="1585" w:type="dxa"/>
            <w:vMerge w:val="continue"/>
          </w:tc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735" w:firstLine="0"/>
      </w:pPr>
      <w:rPr>
        <w:rFonts w:hint="eastAsia" w:ascii="黑体" w:hAnsi="Times New Roman" w:eastAsia="黑体"/>
        <w:b w:val="0"/>
        <w:i w:val="0"/>
        <w:sz w:val="21"/>
      </w:rPr>
    </w:lvl>
    <w:lvl w:ilvl="3" w:tentative="0">
      <w:start w:val="1"/>
      <w:numFmt w:val="decimal"/>
      <w:pStyle w:val="15"/>
      <w:suff w:val="nothing"/>
      <w:lvlText w:val="%1%2.%3.%4　"/>
      <w:lvlJc w:val="left"/>
      <w:pPr>
        <w:ind w:left="1050" w:firstLine="0"/>
      </w:pPr>
      <w:rPr>
        <w:rFonts w:hint="eastAsia" w:ascii="黑体" w:hAnsi="Times New Roman" w:eastAsia="黑体"/>
        <w:b w:val="0"/>
        <w:i w:val="0"/>
        <w:sz w:val="21"/>
      </w:rPr>
    </w:lvl>
    <w:lvl w:ilvl="4" w:tentative="0">
      <w:start w:val="1"/>
      <w:numFmt w:val="decimal"/>
      <w:pStyle w:val="14"/>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F29B9"/>
    <w:rsid w:val="19D74BC7"/>
    <w:rsid w:val="19DE4928"/>
    <w:rsid w:val="19FD49DB"/>
    <w:rsid w:val="1A041A8F"/>
    <w:rsid w:val="1A0822F2"/>
    <w:rsid w:val="1A2573AF"/>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8223FD"/>
    <w:rsid w:val="20A856C1"/>
    <w:rsid w:val="20BE1D38"/>
    <w:rsid w:val="20E1795A"/>
    <w:rsid w:val="20F232A3"/>
    <w:rsid w:val="21A07B88"/>
    <w:rsid w:val="21A34258"/>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16417"/>
    <w:rsid w:val="27573F76"/>
    <w:rsid w:val="27602485"/>
    <w:rsid w:val="2769659E"/>
    <w:rsid w:val="27CF15FE"/>
    <w:rsid w:val="27D42EE9"/>
    <w:rsid w:val="27E10A81"/>
    <w:rsid w:val="27FE6486"/>
    <w:rsid w:val="280B3F2E"/>
    <w:rsid w:val="280D1E20"/>
    <w:rsid w:val="28341F0D"/>
    <w:rsid w:val="28736D78"/>
    <w:rsid w:val="2892323E"/>
    <w:rsid w:val="289361DE"/>
    <w:rsid w:val="28AA5305"/>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403F19EE"/>
    <w:rsid w:val="404047B5"/>
    <w:rsid w:val="404F3BBA"/>
    <w:rsid w:val="40571F31"/>
    <w:rsid w:val="40760623"/>
    <w:rsid w:val="408B7234"/>
    <w:rsid w:val="409D6F53"/>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350F69"/>
    <w:rsid w:val="44A567F5"/>
    <w:rsid w:val="45237F18"/>
    <w:rsid w:val="453B1EBC"/>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3162C0"/>
    <w:rsid w:val="5F551AC0"/>
    <w:rsid w:val="5F616E2A"/>
    <w:rsid w:val="5FCC65B3"/>
    <w:rsid w:val="5FE015B4"/>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12641A"/>
    <w:rsid w:val="65305A43"/>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42C9E"/>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3A3A03"/>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2"/>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三级条标题"/>
    <w:basedOn w:val="15"/>
    <w:next w:val="13"/>
    <w:qFormat/>
    <w:uiPriority w:val="0"/>
    <w:pPr>
      <w:numPr>
        <w:ilvl w:val="4"/>
        <w:numId w:val="1"/>
      </w:numPr>
      <w:outlineLvl w:val="4"/>
    </w:pPr>
  </w:style>
  <w:style w:type="paragraph" w:customStyle="1" w:styleId="15">
    <w:name w:val="二级条标题"/>
    <w:basedOn w:val="16"/>
    <w:next w:val="13"/>
    <w:qFormat/>
    <w:uiPriority w:val="0"/>
    <w:pPr>
      <w:numPr>
        <w:ilvl w:val="3"/>
        <w:numId w:val="1"/>
      </w:numPr>
      <w:outlineLvl w:val="3"/>
    </w:pPr>
  </w:style>
  <w:style w:type="paragraph" w:customStyle="1" w:styleId="16">
    <w:name w:val="一级条标题"/>
    <w:next w:val="1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2021-09-16T01:20:02Z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C655B7EC836B4A099D47BF0403CBE3FA</vt:lpwstr>
  </property>
</Properties>
</file>