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68"/>
        <w:gridCol w:w="1097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7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管理科</w:t>
            </w:r>
            <w:r>
              <w:rPr>
                <w:rFonts w:hint="eastAsia"/>
                <w:sz w:val="24"/>
                <w:szCs w:val="24"/>
              </w:rPr>
              <w:t xml:space="preserve">    主管领导：</w:t>
            </w:r>
            <w:r>
              <w:rPr>
                <w:rFonts w:hint="eastAsia"/>
                <w:sz w:val="24"/>
                <w:szCs w:val="24"/>
                <w:lang w:val="en-US" w:eastAsia="zh-CN"/>
              </w:rPr>
              <w:t>倪缝鹏</w:t>
            </w:r>
            <w:r>
              <w:rPr>
                <w:rFonts w:hint="eastAsia"/>
                <w:sz w:val="24"/>
                <w:szCs w:val="24"/>
              </w:rPr>
              <w:t xml:space="preserve">       陪同人员：</w:t>
            </w:r>
            <w:r>
              <w:rPr>
                <w:rFonts w:hint="eastAsia"/>
                <w:sz w:val="24"/>
                <w:szCs w:val="24"/>
                <w:lang w:val="en-US" w:eastAsia="zh-CN"/>
              </w:rPr>
              <w:t>蒋世鳌</w:t>
            </w:r>
          </w:p>
        </w:tc>
        <w:tc>
          <w:tcPr>
            <w:tcW w:w="115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8" w:type="dxa"/>
            <w:vMerge w:val="continue"/>
            <w:vAlign w:val="center"/>
          </w:tcPr>
          <w:p/>
        </w:tc>
        <w:tc>
          <w:tcPr>
            <w:tcW w:w="968" w:type="dxa"/>
            <w:vMerge w:val="continue"/>
            <w:vAlign w:val="center"/>
          </w:tcPr>
          <w:p/>
        </w:tc>
        <w:tc>
          <w:tcPr>
            <w:tcW w:w="10978" w:type="dxa"/>
            <w:vAlign w:val="center"/>
          </w:tcPr>
          <w:p>
            <w:pPr>
              <w:spacing w:before="120"/>
              <w:rPr>
                <w:rFonts w:hint="eastAsia" w:eastAsia="宋体"/>
                <w:lang w:val="en-US" w:eastAsia="zh-CN"/>
              </w:rPr>
            </w:pPr>
            <w:r>
              <w:rPr>
                <w:rFonts w:hint="eastAsia"/>
                <w:sz w:val="24"/>
                <w:szCs w:val="24"/>
              </w:rPr>
              <w:t xml:space="preserve">审核员： </w:t>
            </w:r>
            <w:r>
              <w:rPr>
                <w:rFonts w:hint="eastAsia"/>
                <w:sz w:val="24"/>
                <w:szCs w:val="24"/>
                <w:lang w:val="en-US" w:eastAsia="zh-CN"/>
              </w:rPr>
              <w:t>强兴</w:t>
            </w:r>
            <w:r>
              <w:rPr>
                <w:rFonts w:hint="eastAsia"/>
                <w:sz w:val="24"/>
                <w:szCs w:val="24"/>
              </w:rPr>
              <w:t xml:space="preserve">  </w:t>
            </w:r>
            <w:r>
              <w:rPr>
                <w:rFonts w:hint="eastAsia"/>
                <w:sz w:val="24"/>
                <w:szCs w:val="24"/>
                <w:lang w:val="en-US" w:eastAsia="zh-CN"/>
              </w:rPr>
              <w:t>王献华</w:t>
            </w:r>
            <w:r>
              <w:rPr>
                <w:rFonts w:hint="eastAsia"/>
                <w:sz w:val="24"/>
                <w:szCs w:val="24"/>
              </w:rPr>
              <w:t xml:space="preserve">                              审核时间：20</w:t>
            </w:r>
            <w:r>
              <w:rPr>
                <w:rFonts w:hint="eastAsia"/>
                <w:sz w:val="24"/>
                <w:szCs w:val="24"/>
                <w:lang w:val="en-US" w:eastAsia="zh-CN"/>
              </w:rPr>
              <w:t>21</w:t>
            </w:r>
            <w:r>
              <w:rPr>
                <w:rFonts w:hint="eastAsia"/>
                <w:sz w:val="24"/>
                <w:szCs w:val="24"/>
              </w:rPr>
              <w:t>.</w:t>
            </w:r>
            <w:r>
              <w:rPr>
                <w:rFonts w:hint="eastAsia"/>
                <w:sz w:val="24"/>
                <w:szCs w:val="24"/>
                <w:lang w:val="en-US" w:eastAsia="zh-CN"/>
              </w:rPr>
              <w:t>9</w:t>
            </w:r>
            <w:r>
              <w:rPr>
                <w:rFonts w:hint="eastAsia"/>
                <w:sz w:val="24"/>
                <w:szCs w:val="24"/>
              </w:rPr>
              <w:t>.1</w:t>
            </w:r>
            <w:r>
              <w:rPr>
                <w:rFonts w:hint="eastAsia"/>
                <w:sz w:val="24"/>
                <w:szCs w:val="24"/>
                <w:lang w:val="en-US" w:eastAsia="zh-CN"/>
              </w:rPr>
              <w:t>5</w:t>
            </w:r>
          </w:p>
        </w:tc>
        <w:tc>
          <w:tcPr>
            <w:tcW w:w="11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08" w:type="dxa"/>
            <w:vMerge w:val="continue"/>
            <w:vAlign w:val="center"/>
          </w:tcPr>
          <w:p/>
        </w:tc>
        <w:tc>
          <w:tcPr>
            <w:tcW w:w="968" w:type="dxa"/>
            <w:vMerge w:val="continue"/>
            <w:vAlign w:val="center"/>
          </w:tcPr>
          <w:p/>
        </w:tc>
        <w:tc>
          <w:tcPr>
            <w:tcW w:w="10978" w:type="dxa"/>
            <w:vAlign w:val="center"/>
          </w:tcPr>
          <w:p>
            <w:pPr>
              <w:spacing w:line="360" w:lineRule="auto"/>
              <w:rPr>
                <w:szCs w:val="22"/>
              </w:rPr>
            </w:pPr>
            <w:r>
              <w:rPr>
                <w:rFonts w:hint="eastAsia"/>
                <w:szCs w:val="22"/>
              </w:rPr>
              <w:t>审核条款：</w:t>
            </w:r>
          </w:p>
          <w:p>
            <w:pPr>
              <w:spacing w:line="360" w:lineRule="auto"/>
              <w:rPr>
                <w:sz w:val="24"/>
                <w:szCs w:val="24"/>
              </w:rPr>
            </w:pPr>
            <w:r>
              <w:rPr>
                <w:rFonts w:hint="eastAsia"/>
                <w:color w:val="000000" w:themeColor="text1"/>
                <w:szCs w:val="22"/>
              </w:rPr>
              <w:t>EMS: 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15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组织的岗位、职责和权限</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E5.3</w:t>
            </w:r>
          </w:p>
        </w:tc>
        <w:tc>
          <w:tcPr>
            <w:tcW w:w="10978" w:type="dxa"/>
          </w:tcPr>
          <w:p>
            <w:pPr>
              <w:spacing w:line="360" w:lineRule="auto"/>
              <w:rPr>
                <w:rFonts w:hint="default" w:eastAsia="宋体"/>
                <w:color w:val="000000" w:themeColor="text1"/>
                <w:szCs w:val="22"/>
                <w:lang w:val="en-US" w:eastAsia="zh-CN"/>
              </w:rPr>
            </w:pPr>
            <w:r>
              <w:rPr>
                <w:rFonts w:hint="eastAsia"/>
                <w:color w:val="000000" w:themeColor="text1"/>
                <w:szCs w:val="22"/>
              </w:rPr>
              <w:t>部门负责人：</w:t>
            </w:r>
            <w:r>
              <w:rPr>
                <w:rFonts w:hint="eastAsia"/>
                <w:color w:val="000000" w:themeColor="text1"/>
                <w:szCs w:val="22"/>
                <w:lang w:val="en-US" w:eastAsia="zh-CN"/>
              </w:rPr>
              <w:t>倪缝鹏</w:t>
            </w:r>
          </w:p>
          <w:p>
            <w:pPr>
              <w:spacing w:line="360" w:lineRule="auto"/>
              <w:rPr>
                <w:color w:val="000000" w:themeColor="text1"/>
                <w:szCs w:val="22"/>
              </w:rPr>
            </w:pPr>
            <w:r>
              <w:rPr>
                <w:rFonts w:hint="eastAsia"/>
                <w:color w:val="000000" w:themeColor="text1"/>
                <w:szCs w:val="22"/>
              </w:rPr>
              <w:t>询问主要职责：</w:t>
            </w:r>
          </w:p>
          <w:p>
            <w:pPr>
              <w:spacing w:line="360" w:lineRule="auto"/>
              <w:rPr>
                <w:color w:val="000000" w:themeColor="text1"/>
                <w:szCs w:val="22"/>
              </w:rPr>
            </w:pPr>
            <w:r>
              <w:rPr>
                <w:rFonts w:hint="eastAsia"/>
                <w:color w:val="000000" w:themeColor="text1"/>
                <w:szCs w:val="22"/>
              </w:rPr>
              <w:t>1) 具体负责环境管理体系的建立与实施；</w:t>
            </w:r>
          </w:p>
          <w:p>
            <w:pPr>
              <w:spacing w:line="360" w:lineRule="auto"/>
              <w:rPr>
                <w:color w:val="000000" w:themeColor="text1"/>
                <w:szCs w:val="22"/>
              </w:rPr>
            </w:pPr>
            <w:r>
              <w:rPr>
                <w:rFonts w:hint="eastAsia"/>
                <w:color w:val="000000" w:themeColor="text1"/>
                <w:szCs w:val="22"/>
              </w:rPr>
              <w:t>2) 组织环境因素识别与评价，确定重要环境因素；</w:t>
            </w:r>
          </w:p>
          <w:p>
            <w:pPr>
              <w:spacing w:line="360" w:lineRule="auto"/>
              <w:rPr>
                <w:color w:val="000000" w:themeColor="text1"/>
                <w:szCs w:val="22"/>
              </w:rPr>
            </w:pPr>
            <w:r>
              <w:rPr>
                <w:rFonts w:hint="eastAsia"/>
                <w:color w:val="000000" w:themeColor="text1"/>
                <w:szCs w:val="22"/>
              </w:rPr>
              <w:t>3) 组织环境管理体系内审及各种评审；</w:t>
            </w:r>
          </w:p>
          <w:p>
            <w:pPr>
              <w:spacing w:line="360" w:lineRule="auto"/>
              <w:rPr>
                <w:color w:val="000000" w:themeColor="text1"/>
                <w:szCs w:val="22"/>
              </w:rPr>
            </w:pPr>
            <w:r>
              <w:rPr>
                <w:rFonts w:hint="eastAsia"/>
                <w:color w:val="000000" w:themeColor="text1"/>
                <w:szCs w:val="22"/>
              </w:rPr>
              <w:t>4) 负责获取、识别和更新适用的环境法律法规及其他要求，组织实施对法律法规遵循情况的评价；</w:t>
            </w:r>
          </w:p>
          <w:p>
            <w:pPr>
              <w:spacing w:line="360" w:lineRule="auto"/>
              <w:rPr>
                <w:color w:val="000000" w:themeColor="text1"/>
                <w:szCs w:val="22"/>
              </w:rPr>
            </w:pPr>
            <w:r>
              <w:rPr>
                <w:rFonts w:hint="eastAsia"/>
                <w:color w:val="000000" w:themeColor="text1"/>
                <w:szCs w:val="22"/>
              </w:rPr>
              <w:t>5) 组织环境管理体系文件的编写和文件的管理；</w:t>
            </w:r>
          </w:p>
          <w:p>
            <w:pPr>
              <w:spacing w:line="360" w:lineRule="auto"/>
              <w:rPr>
                <w:color w:val="000000" w:themeColor="text1"/>
                <w:szCs w:val="22"/>
              </w:rPr>
            </w:pPr>
            <w:r>
              <w:rPr>
                <w:rFonts w:hint="eastAsia"/>
                <w:color w:val="000000" w:themeColor="text1"/>
                <w:szCs w:val="22"/>
              </w:rPr>
              <w:t>6) 组织制定环境目标、指标和方案，并对完成情况进行监督检查；</w:t>
            </w:r>
          </w:p>
          <w:p>
            <w:pPr>
              <w:spacing w:line="360" w:lineRule="auto"/>
              <w:rPr>
                <w:color w:val="000000" w:themeColor="text1"/>
                <w:szCs w:val="22"/>
              </w:rPr>
            </w:pPr>
            <w:r>
              <w:rPr>
                <w:rFonts w:hint="eastAsia"/>
                <w:color w:val="000000" w:themeColor="text1"/>
                <w:szCs w:val="22"/>
              </w:rPr>
              <w:t>7) 负责内、外部环境信息交流；</w:t>
            </w:r>
          </w:p>
          <w:p>
            <w:pPr>
              <w:spacing w:line="360" w:lineRule="auto"/>
              <w:rPr>
                <w:rFonts w:hint="eastAsia"/>
                <w:color w:val="000000" w:themeColor="text1"/>
                <w:szCs w:val="22"/>
              </w:rPr>
            </w:pPr>
            <w:r>
              <w:rPr>
                <w:rFonts w:hint="eastAsia"/>
                <w:color w:val="000000" w:themeColor="text1"/>
                <w:szCs w:val="22"/>
              </w:rPr>
              <w:t>8) 负责环境管理体系运行的监督检查，对纠正预措施和预防措施跟踪验证；</w:t>
            </w:r>
          </w:p>
          <w:p>
            <w:pPr>
              <w:spacing w:line="360" w:lineRule="auto"/>
              <w:rPr>
                <w:rFonts w:hint="default"/>
                <w:color w:val="000000" w:themeColor="text1"/>
                <w:szCs w:val="22"/>
                <w:lang w:val="en-US" w:eastAsia="zh-CN"/>
              </w:rPr>
            </w:pPr>
            <w:r>
              <w:rPr>
                <w:rFonts w:hint="eastAsia"/>
                <w:color w:val="000000" w:themeColor="text1"/>
                <w:szCs w:val="22"/>
                <w:lang w:val="en-US" w:eastAsia="zh-CN"/>
              </w:rPr>
              <w:t>9）负责危险废物的处理和转移；</w:t>
            </w:r>
          </w:p>
          <w:p>
            <w:pPr>
              <w:spacing w:line="360" w:lineRule="auto"/>
              <w:rPr>
                <w:color w:val="000000" w:themeColor="text1"/>
                <w:szCs w:val="22"/>
              </w:rPr>
            </w:pPr>
            <w:r>
              <w:rPr>
                <w:rFonts w:hint="eastAsia"/>
                <w:color w:val="000000" w:themeColor="text1"/>
                <w:szCs w:val="22"/>
              </w:rPr>
              <w:t>……</w:t>
            </w:r>
          </w:p>
          <w:p>
            <w:pPr>
              <w:spacing w:line="360" w:lineRule="auto"/>
              <w:rPr>
                <w:color w:val="000000" w:themeColor="text1"/>
                <w:szCs w:val="22"/>
              </w:rPr>
            </w:pPr>
            <w:r>
              <w:rPr>
                <w:rFonts w:hint="eastAsia"/>
                <w:color w:val="000000" w:themeColor="text1"/>
                <w:szCs w:val="22"/>
              </w:rPr>
              <w:t>部门职责清晰、明确。</w:t>
            </w:r>
            <w:r>
              <w:rPr>
                <w:rFonts w:hint="eastAsia"/>
                <w:color w:val="000000" w:themeColor="text1"/>
                <w:szCs w:val="22"/>
                <w:lang w:eastAsia="zh-CN"/>
              </w:rPr>
              <w:t>管理科</w:t>
            </w:r>
            <w:r>
              <w:rPr>
                <w:rFonts w:hint="eastAsia"/>
                <w:color w:val="000000" w:themeColor="text1"/>
                <w:szCs w:val="22"/>
              </w:rPr>
              <w:t>负责人能基本阐述本部门的主要职责。</w:t>
            </w:r>
          </w:p>
        </w:tc>
        <w:tc>
          <w:tcPr>
            <w:tcW w:w="115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rPr>
                <w:color w:val="000000" w:themeColor="text1"/>
                <w:szCs w:val="22"/>
              </w:rPr>
            </w:pPr>
            <w:r>
              <w:rPr>
                <w:rFonts w:hint="eastAsia"/>
                <w:color w:val="000000" w:themeColor="text1"/>
                <w:szCs w:val="22"/>
              </w:rPr>
              <w:t>目标及其达成的策划</w:t>
            </w:r>
          </w:p>
        </w:tc>
        <w:tc>
          <w:tcPr>
            <w:tcW w:w="968" w:type="dxa"/>
            <w:vAlign w:val="center"/>
          </w:tcPr>
          <w:p>
            <w:pPr>
              <w:spacing w:line="360" w:lineRule="auto"/>
              <w:rPr>
                <w:color w:val="000000" w:themeColor="text1"/>
                <w:szCs w:val="22"/>
              </w:rPr>
            </w:pPr>
            <w:r>
              <w:rPr>
                <w:rFonts w:hint="eastAsia"/>
                <w:color w:val="000000" w:themeColor="text1"/>
                <w:szCs w:val="22"/>
              </w:rPr>
              <w:t>E6.2</w:t>
            </w:r>
          </w:p>
        </w:tc>
        <w:tc>
          <w:tcPr>
            <w:tcW w:w="10978" w:type="dxa"/>
          </w:tcPr>
          <w:p>
            <w:pPr>
              <w:spacing w:line="360" w:lineRule="auto"/>
              <w:rPr>
                <w:color w:val="000000" w:themeColor="text1"/>
                <w:szCs w:val="22"/>
              </w:rPr>
            </w:pPr>
            <w:r>
              <w:rPr>
                <w:rFonts w:hint="eastAsia"/>
                <w:color w:val="000000" w:themeColor="text1"/>
                <w:szCs w:val="22"/>
              </w:rPr>
              <w:t>提供</w:t>
            </w:r>
            <w:bookmarkStart w:id="0" w:name="组织名称"/>
            <w:r>
              <w:rPr>
                <w:sz w:val="21"/>
                <w:szCs w:val="21"/>
              </w:rPr>
              <w:t>浙江威罗德汽配股份有限公司</w:t>
            </w:r>
            <w:bookmarkEnd w:id="0"/>
            <w:r>
              <w:rPr>
                <w:rFonts w:hint="eastAsia"/>
                <w:color w:val="000000" w:themeColor="text1"/>
                <w:szCs w:val="22"/>
              </w:rPr>
              <w:t>20</w:t>
            </w:r>
            <w:r>
              <w:rPr>
                <w:rFonts w:hint="eastAsia"/>
                <w:color w:val="000000" w:themeColor="text1"/>
                <w:szCs w:val="22"/>
                <w:lang w:val="en-US" w:eastAsia="zh-CN"/>
              </w:rPr>
              <w:t>21</w:t>
            </w:r>
            <w:r>
              <w:rPr>
                <w:rFonts w:hint="eastAsia"/>
                <w:color w:val="000000" w:themeColor="text1"/>
                <w:szCs w:val="22"/>
              </w:rPr>
              <w:t xml:space="preserve">年度环境目标、指标与管理方案一览表 </w:t>
            </w:r>
          </w:p>
          <w:p>
            <w:pPr>
              <w:spacing w:line="360" w:lineRule="auto"/>
              <w:rPr>
                <w:color w:val="000000" w:themeColor="text1"/>
                <w:szCs w:val="22"/>
              </w:rPr>
            </w:pPr>
            <w:r>
              <w:rPr>
                <w:rFonts w:hint="eastAsia"/>
                <w:color w:val="000000" w:themeColor="text1"/>
                <w:szCs w:val="22"/>
              </w:rPr>
              <w:t>编制：</w:t>
            </w:r>
            <w:r>
              <w:rPr>
                <w:rFonts w:hint="eastAsia"/>
                <w:color w:val="000000" w:themeColor="text1"/>
                <w:szCs w:val="22"/>
                <w:lang w:val="en-US" w:eastAsia="zh-CN"/>
              </w:rPr>
              <w:t>倪缝鹏</w:t>
            </w:r>
            <w:r>
              <w:rPr>
                <w:rFonts w:hint="eastAsia"/>
                <w:color w:val="000000" w:themeColor="text1"/>
                <w:szCs w:val="22"/>
              </w:rPr>
              <w:t>　　　  　批准：</w:t>
            </w:r>
            <w:r>
              <w:rPr>
                <w:rFonts w:hint="eastAsia"/>
                <w:color w:val="000000" w:themeColor="text1"/>
                <w:szCs w:val="22"/>
                <w:lang w:val="en-US" w:eastAsia="zh-CN"/>
              </w:rPr>
              <w:t>章壮志</w:t>
            </w:r>
            <w:r>
              <w:rPr>
                <w:rFonts w:hint="eastAsia"/>
                <w:color w:val="000000" w:themeColor="text1"/>
                <w:szCs w:val="22"/>
              </w:rPr>
              <w:t>　　　　日期：20</w:t>
            </w:r>
            <w:r>
              <w:rPr>
                <w:rFonts w:hint="eastAsia"/>
                <w:color w:val="000000" w:themeColor="text1"/>
                <w:szCs w:val="22"/>
                <w:lang w:val="en-US" w:eastAsia="zh-CN"/>
              </w:rPr>
              <w:t>21</w:t>
            </w:r>
            <w:r>
              <w:rPr>
                <w:rFonts w:hint="eastAsia"/>
                <w:color w:val="000000" w:themeColor="text1"/>
                <w:szCs w:val="22"/>
              </w:rPr>
              <w:t>年3月</w:t>
            </w:r>
            <w:r>
              <w:rPr>
                <w:rFonts w:hint="eastAsia"/>
                <w:color w:val="000000" w:themeColor="text1"/>
                <w:szCs w:val="22"/>
                <w:lang w:val="en-US" w:eastAsia="zh-CN"/>
              </w:rPr>
              <w:t>1</w:t>
            </w:r>
            <w:r>
              <w:rPr>
                <w:rFonts w:hint="eastAsia"/>
                <w:color w:val="000000" w:themeColor="text1"/>
                <w:szCs w:val="22"/>
              </w:rPr>
              <w:t>日</w:t>
            </w:r>
          </w:p>
          <w:p>
            <w:pPr>
              <w:spacing w:line="360" w:lineRule="auto"/>
              <w:rPr>
                <w:rFonts w:hint="eastAsia" w:eastAsia="宋体"/>
                <w:color w:val="000000" w:themeColor="text1"/>
                <w:szCs w:val="22"/>
                <w:lang w:eastAsia="zh-CN"/>
              </w:rPr>
            </w:pPr>
            <w:r>
              <w:rPr>
                <w:rFonts w:hint="eastAsia" w:eastAsia="宋体"/>
                <w:color w:val="000000" w:themeColor="text1"/>
                <w:szCs w:val="22"/>
                <w:lang w:eastAsia="zh-CN"/>
              </w:rPr>
              <w:drawing>
                <wp:inline distT="0" distB="0" distL="114300" distR="114300">
                  <wp:extent cx="6831965" cy="2137410"/>
                  <wp:effectExtent l="0" t="0" r="635" b="8890"/>
                  <wp:docPr id="2" name="图片 2" descr="微信图片_2021091611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916111026"/>
                          <pic:cNvPicPr>
                            <a:picLocks noChangeAspect="1"/>
                          </pic:cNvPicPr>
                        </pic:nvPicPr>
                        <pic:blipFill>
                          <a:blip r:embed="rId6"/>
                          <a:stretch>
                            <a:fillRect/>
                          </a:stretch>
                        </pic:blipFill>
                        <pic:spPr>
                          <a:xfrm>
                            <a:off x="0" y="0"/>
                            <a:ext cx="6831965" cy="2137410"/>
                          </a:xfrm>
                          <a:prstGeom prst="rect">
                            <a:avLst/>
                          </a:prstGeom>
                        </pic:spPr>
                      </pic:pic>
                    </a:graphicData>
                  </a:graphic>
                </wp:inline>
              </w:drawing>
            </w:r>
          </w:p>
          <w:p>
            <w:pPr>
              <w:spacing w:line="360" w:lineRule="auto"/>
              <w:rPr>
                <w:color w:val="000000" w:themeColor="text1"/>
                <w:szCs w:val="22"/>
              </w:rPr>
            </w:pPr>
            <w:r>
              <w:rPr>
                <w:rFonts w:hint="eastAsia"/>
                <w:color w:val="000000" w:themeColor="text1"/>
                <w:szCs w:val="22"/>
              </w:rPr>
              <w:t>查到</w:t>
            </w:r>
            <w:r>
              <w:rPr>
                <w:rFonts w:hint="eastAsia"/>
                <w:color w:val="000000" w:themeColor="text1"/>
                <w:szCs w:val="22"/>
                <w:lang w:val="en-US" w:eastAsia="zh-CN"/>
              </w:rPr>
              <w:t>本科室</w:t>
            </w:r>
            <w:r>
              <w:rPr>
                <w:rFonts w:hint="eastAsia"/>
                <w:color w:val="000000" w:themeColor="text1"/>
                <w:szCs w:val="22"/>
              </w:rPr>
              <w:t>的环境指标：文件发放及时率：100%；员工培训计划实施率：100%；办公场所分类处理各类废弃物，有专门收集箱并标识，回收处理率≥99%.；废弃物请回收部门清运及时率100%</w:t>
            </w:r>
            <w:r>
              <w:rPr>
                <w:rFonts w:hint="eastAsia"/>
                <w:color w:val="000000" w:themeColor="text1"/>
                <w:szCs w:val="22"/>
                <w:lang w:eastAsia="zh-CN"/>
              </w:rPr>
              <w:t>；</w:t>
            </w:r>
            <w:r>
              <w:rPr>
                <w:rFonts w:hint="eastAsia"/>
                <w:color w:val="000000" w:themeColor="text1"/>
                <w:szCs w:val="22"/>
              </w:rPr>
              <w:t>火灾事故发生率为0。</w:t>
            </w:r>
          </w:p>
          <w:p>
            <w:pPr>
              <w:spacing w:line="360" w:lineRule="auto"/>
              <w:rPr>
                <w:color w:val="FF0000"/>
                <w:szCs w:val="22"/>
              </w:rPr>
            </w:pPr>
            <w:r>
              <w:rPr>
                <w:rFonts w:hint="eastAsia"/>
                <w:color w:val="000000" w:themeColor="text1"/>
                <w:szCs w:val="22"/>
              </w:rPr>
              <w:t>查到目标完成情况考核表：</w:t>
            </w:r>
          </w:p>
          <w:p>
            <w:pPr>
              <w:spacing w:line="360" w:lineRule="auto"/>
              <w:rPr>
                <w:color w:val="000000" w:themeColor="text1"/>
                <w:szCs w:val="22"/>
              </w:rPr>
            </w:pPr>
            <w:r>
              <w:rPr>
                <w:rFonts w:hint="eastAsia"/>
                <w:color w:val="000000" w:themeColor="text1"/>
                <w:szCs w:val="22"/>
              </w:rPr>
              <w:t>考核人：</w:t>
            </w:r>
            <w:r>
              <w:rPr>
                <w:rFonts w:hint="eastAsia"/>
                <w:color w:val="000000" w:themeColor="text1"/>
                <w:szCs w:val="22"/>
                <w:lang w:val="en-US" w:eastAsia="zh-CN"/>
              </w:rPr>
              <w:t>倪缝鹏、章壮志</w:t>
            </w:r>
            <w:r>
              <w:rPr>
                <w:rFonts w:hint="eastAsia"/>
                <w:color w:val="000000" w:themeColor="text1"/>
                <w:szCs w:val="22"/>
              </w:rPr>
              <w:t>，    考核日期：</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年6月</w:t>
            </w:r>
            <w:r>
              <w:rPr>
                <w:rFonts w:hint="eastAsia" w:ascii="宋体" w:hAnsi="宋体"/>
                <w:szCs w:val="21"/>
                <w:lang w:val="en-US" w:eastAsia="zh-CN"/>
              </w:rPr>
              <w:t>30</w:t>
            </w:r>
            <w:r>
              <w:rPr>
                <w:rFonts w:hint="eastAsia" w:ascii="宋体" w:hAnsi="宋体"/>
                <w:szCs w:val="21"/>
              </w:rPr>
              <w:t xml:space="preserve">日 </w:t>
            </w:r>
            <w:r>
              <w:rPr>
                <w:rFonts w:hint="eastAsia"/>
                <w:color w:val="000000" w:themeColor="text1"/>
                <w:szCs w:val="22"/>
              </w:rPr>
              <w:t>，以上能达标完成。</w:t>
            </w:r>
          </w:p>
          <w:p>
            <w:pPr>
              <w:spacing w:line="360" w:lineRule="auto"/>
              <w:rPr>
                <w:color w:val="000000" w:themeColor="text1"/>
                <w:szCs w:val="22"/>
              </w:rPr>
            </w:pPr>
            <w:r>
              <w:rPr>
                <w:rFonts w:hint="eastAsia"/>
                <w:color w:val="000000" w:themeColor="text1"/>
                <w:szCs w:val="22"/>
              </w:rPr>
              <w:t>管理方案由责任部门组织实施，目前在实施中，部分已完成。</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napToGrid w:val="0"/>
              <w:spacing w:line="360" w:lineRule="auto"/>
              <w:rPr>
                <w:rFonts w:ascii="楷体" w:hAnsi="楷体" w:eastAsia="楷体" w:cs="宋体"/>
                <w:sz w:val="24"/>
                <w:szCs w:val="24"/>
              </w:rPr>
            </w:pPr>
            <w:r>
              <w:rPr>
                <w:rFonts w:hint="eastAsia" w:ascii="楷体" w:hAnsi="楷体" w:eastAsia="楷体" w:cs="宋体"/>
                <w:sz w:val="24"/>
                <w:szCs w:val="24"/>
              </w:rPr>
              <w:t xml:space="preserve"> </w:t>
            </w:r>
          </w:p>
          <w:p>
            <w:pPr>
              <w:snapToGrid w:val="0"/>
              <w:spacing w:line="360" w:lineRule="auto"/>
              <w:rPr>
                <w:szCs w:val="22"/>
              </w:rPr>
            </w:pPr>
            <w:r>
              <w:rPr>
                <w:rFonts w:hint="eastAsia" w:ascii="楷体" w:hAnsi="楷体" w:eastAsia="楷体" w:cs="Arial"/>
                <w:sz w:val="24"/>
                <w:szCs w:val="24"/>
              </w:rPr>
              <w:t>环境因素</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 xml:space="preserve">E6.1.2 </w:t>
            </w:r>
          </w:p>
          <w:p>
            <w:pPr>
              <w:spacing w:line="360" w:lineRule="auto"/>
              <w:rPr>
                <w:szCs w:val="22"/>
              </w:rPr>
            </w:pPr>
          </w:p>
        </w:tc>
        <w:tc>
          <w:tcPr>
            <w:tcW w:w="10978" w:type="dxa"/>
          </w:tcPr>
          <w:p>
            <w:pPr>
              <w:spacing w:line="360" w:lineRule="auto"/>
              <w:ind w:firstLine="420" w:firstLineChars="200"/>
              <w:rPr>
                <w:color w:val="000000" w:themeColor="text1"/>
                <w:szCs w:val="22"/>
              </w:rPr>
            </w:pPr>
            <w:r>
              <w:rPr>
                <w:rFonts w:hint="eastAsia"/>
                <w:color w:val="000000" w:themeColor="text1"/>
                <w:szCs w:val="22"/>
                <w:lang w:eastAsia="zh-CN"/>
              </w:rPr>
              <w:t>管理科</w:t>
            </w:r>
            <w:r>
              <w:rPr>
                <w:rFonts w:hint="eastAsia"/>
                <w:color w:val="000000" w:themeColor="text1"/>
                <w:szCs w:val="22"/>
              </w:rPr>
              <w:t>作为环境管理体系的推进部门，主要负责识别评价相关的环境因素，查有：《环境因素识别与评价控制程序》。</w:t>
            </w:r>
          </w:p>
          <w:p>
            <w:pPr>
              <w:spacing w:line="360" w:lineRule="auto"/>
              <w:rPr>
                <w:color w:val="000000" w:themeColor="text1"/>
                <w:szCs w:val="22"/>
              </w:rPr>
            </w:pPr>
            <w:r>
              <w:rPr>
                <w:rFonts w:hint="eastAsia"/>
                <w:color w:val="000000" w:themeColor="text1"/>
                <w:szCs w:val="22"/>
              </w:rPr>
              <w:t>根据各生产、办公、销售过程环节识别，由</w:t>
            </w:r>
            <w:r>
              <w:rPr>
                <w:rFonts w:hint="eastAsia"/>
                <w:color w:val="000000" w:themeColor="text1"/>
                <w:szCs w:val="22"/>
                <w:lang w:eastAsia="zh-CN"/>
              </w:rPr>
              <w:t>管理科</w:t>
            </w:r>
            <w:r>
              <w:rPr>
                <w:rFonts w:hint="eastAsia"/>
                <w:color w:val="000000" w:themeColor="text1"/>
                <w:szCs w:val="22"/>
              </w:rPr>
              <w:t>统一汇总。</w:t>
            </w:r>
          </w:p>
          <w:p>
            <w:pPr>
              <w:spacing w:line="360" w:lineRule="auto"/>
              <w:rPr>
                <w:color w:val="000000" w:themeColor="text1"/>
                <w:szCs w:val="22"/>
              </w:rPr>
            </w:pPr>
            <w:r>
              <w:rPr>
                <w:rFonts w:hint="eastAsia"/>
                <w:color w:val="000000" w:themeColor="text1"/>
                <w:szCs w:val="22"/>
              </w:rPr>
              <w:t>提供了《环境因素识别评价汇总表》，</w:t>
            </w:r>
            <w:r>
              <w:rPr>
                <w:rFonts w:hint="eastAsia"/>
                <w:color w:val="000000" w:themeColor="text1"/>
                <w:szCs w:val="22"/>
                <w:lang w:eastAsia="zh-CN"/>
              </w:rPr>
              <w:t>管理科</w:t>
            </w:r>
            <w:r>
              <w:rPr>
                <w:rFonts w:hint="eastAsia"/>
                <w:color w:val="000000" w:themeColor="text1"/>
                <w:szCs w:val="22"/>
              </w:rPr>
              <w:t>、</w:t>
            </w:r>
            <w:r>
              <w:rPr>
                <w:rFonts w:hint="eastAsia"/>
                <w:color w:val="000000" w:themeColor="text1"/>
                <w:szCs w:val="22"/>
                <w:lang w:val="en-US" w:eastAsia="zh-CN"/>
              </w:rPr>
              <w:t>业务科、采购科、生产部</w:t>
            </w:r>
            <w:r>
              <w:rPr>
                <w:rFonts w:hint="eastAsia"/>
                <w:color w:val="000000" w:themeColor="text1"/>
                <w:szCs w:val="22"/>
              </w:rPr>
              <w:t xml:space="preserve">等部门发布识别了其部门的环境因素，识别了体系覆盖的各过程的环境因素，如水电消耗、包装物消耗、废旧办公设备排放、废水排放、生活垃圾排放、运输汽车尾气扬尘排放、加工边角料排放、废切削液排放、设备噪声的排放等环境因素，但是识别不够细致、充分，现场交流。 </w:t>
            </w:r>
          </w:p>
          <w:p>
            <w:pPr>
              <w:spacing w:line="360" w:lineRule="auto"/>
              <w:rPr>
                <w:rFonts w:hint="eastAsia" w:ascii="楷体" w:hAnsi="楷体" w:eastAsia="楷体" w:cs="楷体"/>
                <w:sz w:val="24"/>
                <w:szCs w:val="24"/>
              </w:rPr>
            </w:pPr>
            <w:r>
              <w:rPr>
                <w:rFonts w:hint="eastAsia"/>
                <w:color w:val="000000" w:themeColor="text1"/>
                <w:szCs w:val="22"/>
              </w:rPr>
              <w:t>现场提供了《重要环境因素清单》，通过评价，公司共识别出重要环境因素</w:t>
            </w:r>
            <w:r>
              <w:rPr>
                <w:rFonts w:hint="eastAsia"/>
                <w:color w:val="000000" w:themeColor="text1"/>
                <w:szCs w:val="22"/>
                <w:lang w:val="en-US" w:eastAsia="zh-CN"/>
              </w:rPr>
              <w:t>5</w:t>
            </w:r>
            <w:r>
              <w:rPr>
                <w:rFonts w:hint="eastAsia"/>
                <w:color w:val="000000" w:themeColor="text1"/>
                <w:szCs w:val="22"/>
              </w:rPr>
              <w:t>项。</w:t>
            </w:r>
            <w:r>
              <w:rPr>
                <w:rFonts w:hint="eastAsia" w:ascii="楷体" w:hAnsi="楷体" w:eastAsia="楷体" w:cs="楷体"/>
                <w:sz w:val="24"/>
                <w:szCs w:val="24"/>
              </w:rPr>
              <w:t xml:space="preserve"> </w:t>
            </w:r>
          </w:p>
          <w:p>
            <w:pPr>
              <w:pStyle w:val="2"/>
              <w:rPr>
                <w:rFonts w:hint="eastAsia" w:eastAsia="楷体"/>
                <w:lang w:eastAsia="zh-CN"/>
              </w:rPr>
            </w:pPr>
            <w:r>
              <w:rPr>
                <w:rFonts w:hint="eastAsia" w:eastAsia="楷体"/>
                <w:lang w:eastAsia="zh-CN"/>
              </w:rPr>
              <w:drawing>
                <wp:inline distT="0" distB="0" distL="114300" distR="114300">
                  <wp:extent cx="5899150" cy="2147570"/>
                  <wp:effectExtent l="0" t="0" r="6350" b="11430"/>
                  <wp:docPr id="3" name="图片 3" descr="微信图片_202109161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16112426"/>
                          <pic:cNvPicPr>
                            <a:picLocks noChangeAspect="1"/>
                          </pic:cNvPicPr>
                        </pic:nvPicPr>
                        <pic:blipFill>
                          <a:blip r:embed="rId7"/>
                          <a:stretch>
                            <a:fillRect/>
                          </a:stretch>
                        </pic:blipFill>
                        <pic:spPr>
                          <a:xfrm>
                            <a:off x="0" y="0"/>
                            <a:ext cx="5899150" cy="2147570"/>
                          </a:xfrm>
                          <a:prstGeom prst="rect">
                            <a:avLst/>
                          </a:prstGeom>
                        </pic:spPr>
                      </pic:pic>
                    </a:graphicData>
                  </a:graphic>
                </wp:inline>
              </w:drawing>
            </w:r>
          </w:p>
          <w:p>
            <w:pPr>
              <w:spacing w:line="360" w:lineRule="auto"/>
              <w:ind w:firstLine="420" w:firstLineChars="200"/>
              <w:rPr>
                <w:color w:val="000000" w:themeColor="text1"/>
                <w:szCs w:val="22"/>
              </w:rPr>
            </w:pPr>
            <w:r>
              <w:rPr>
                <w:rFonts w:hint="eastAsia"/>
                <w:color w:val="000000" w:themeColor="text1"/>
                <w:szCs w:val="22"/>
              </w:rPr>
              <w:t>查</w:t>
            </w:r>
            <w:r>
              <w:rPr>
                <w:rFonts w:hint="eastAsia"/>
                <w:color w:val="000000" w:themeColor="text1"/>
                <w:szCs w:val="22"/>
                <w:lang w:eastAsia="zh-CN"/>
              </w:rPr>
              <w:t>管理科</w:t>
            </w:r>
            <w:r>
              <w:rPr>
                <w:rFonts w:hint="eastAsia"/>
                <w:color w:val="000000" w:themeColor="text1"/>
                <w:szCs w:val="22"/>
              </w:rPr>
              <w:t>环境因素识别情况：识别了办公过程的如下环境因素：办公过程中的水电消耗、纸张使用、废办公设备排放、生活垃圾排放、火灾等。</w:t>
            </w:r>
          </w:p>
          <w:p>
            <w:pPr>
              <w:spacing w:line="360" w:lineRule="auto"/>
              <w:ind w:firstLine="420" w:firstLineChars="200"/>
              <w:rPr>
                <w:color w:val="000000" w:themeColor="text1"/>
                <w:szCs w:val="22"/>
              </w:rPr>
            </w:pPr>
            <w:r>
              <w:rPr>
                <w:rFonts w:hint="eastAsia"/>
                <w:color w:val="000000" w:themeColor="text1"/>
                <w:szCs w:val="22"/>
              </w:rPr>
              <w:t>涉及</w:t>
            </w:r>
            <w:r>
              <w:rPr>
                <w:rFonts w:hint="eastAsia"/>
                <w:color w:val="000000" w:themeColor="text1"/>
                <w:szCs w:val="22"/>
                <w:lang w:eastAsia="zh-CN"/>
              </w:rPr>
              <w:t>管理科</w:t>
            </w:r>
            <w:r>
              <w:rPr>
                <w:rFonts w:hint="eastAsia"/>
                <w:color w:val="000000" w:themeColor="text1"/>
                <w:szCs w:val="22"/>
              </w:rPr>
              <w:t>的重要环境因素有2项：办公活动过程中的火灾及</w:t>
            </w:r>
            <w:r>
              <w:rPr>
                <w:rFonts w:hint="eastAsia"/>
                <w:color w:val="000000" w:themeColor="text1"/>
                <w:szCs w:val="22"/>
                <w:lang w:val="en-US" w:eastAsia="zh-CN"/>
              </w:rPr>
              <w:t>资源消耗</w:t>
            </w:r>
            <w:r>
              <w:rPr>
                <w:rFonts w:hint="eastAsia"/>
                <w:color w:val="000000" w:themeColor="text1"/>
                <w:szCs w:val="22"/>
              </w:rPr>
              <w:t>。</w:t>
            </w:r>
          </w:p>
          <w:p>
            <w:pPr>
              <w:spacing w:line="360" w:lineRule="auto"/>
              <w:rPr>
                <w:rFonts w:ascii="宋体" w:hAnsi="宋体" w:cs="宋体"/>
                <w:color w:val="000000" w:themeColor="text1"/>
                <w:szCs w:val="21"/>
                <w:lang w:bidi="ar"/>
              </w:rPr>
            </w:pPr>
            <w:r>
              <w:rPr>
                <w:rFonts w:hint="eastAsia"/>
                <w:color w:val="000000" w:themeColor="text1"/>
                <w:szCs w:val="22"/>
              </w:rPr>
              <w:t>对于重要环境因素的控制，通过日常检查、目标、管理方案、运行控制、应急预案等控制方式，各部门的运行控制情况见各部门审核记录。</w:t>
            </w:r>
          </w:p>
        </w:tc>
        <w:tc>
          <w:tcPr>
            <w:tcW w:w="115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pPr>
              <w:spacing w:line="360" w:lineRule="auto"/>
              <w:jc w:val="center"/>
              <w:rPr>
                <w:color w:val="000000" w:themeColor="text1"/>
                <w:szCs w:val="22"/>
              </w:rPr>
            </w:pPr>
            <w:r>
              <w:rPr>
                <w:rFonts w:hint="eastAsia"/>
                <w:color w:val="000000" w:themeColor="text1"/>
                <w:szCs w:val="22"/>
              </w:rPr>
              <w:t>合规义务</w:t>
            </w:r>
          </w:p>
          <w:p>
            <w:pPr>
              <w:spacing w:line="360" w:lineRule="auto"/>
              <w:jc w:val="center"/>
              <w:rPr>
                <w:color w:val="000000" w:themeColor="text1"/>
                <w:szCs w:val="22"/>
              </w:rPr>
            </w:pPr>
            <w:r>
              <w:rPr>
                <w:rFonts w:hint="eastAsia"/>
                <w:color w:val="000000" w:themeColor="text1"/>
                <w:szCs w:val="22"/>
              </w:rPr>
              <w:t>合规性评价</w:t>
            </w:r>
          </w:p>
        </w:tc>
        <w:tc>
          <w:tcPr>
            <w:tcW w:w="968" w:type="dxa"/>
          </w:tcPr>
          <w:p>
            <w:pPr>
              <w:spacing w:line="360" w:lineRule="auto"/>
              <w:rPr>
                <w:color w:val="000000" w:themeColor="text1"/>
                <w:szCs w:val="22"/>
              </w:rPr>
            </w:pPr>
          </w:p>
          <w:p>
            <w:pPr>
              <w:spacing w:line="360" w:lineRule="auto"/>
              <w:rPr>
                <w:color w:val="000000" w:themeColor="text1"/>
                <w:szCs w:val="22"/>
              </w:rPr>
            </w:pPr>
          </w:p>
          <w:p>
            <w:pPr>
              <w:spacing w:line="360" w:lineRule="auto"/>
              <w:rPr>
                <w:color w:val="000000" w:themeColor="text1"/>
                <w:szCs w:val="22"/>
              </w:rPr>
            </w:pPr>
            <w:r>
              <w:rPr>
                <w:rFonts w:hint="eastAsia"/>
                <w:color w:val="000000" w:themeColor="text1"/>
                <w:szCs w:val="22"/>
              </w:rPr>
              <w:t>E6.1.3</w:t>
            </w:r>
          </w:p>
          <w:p>
            <w:pPr>
              <w:spacing w:line="360" w:lineRule="auto"/>
              <w:rPr>
                <w:color w:val="000000" w:themeColor="text1"/>
                <w:szCs w:val="22"/>
              </w:rPr>
            </w:pPr>
            <w:r>
              <w:rPr>
                <w:rFonts w:hint="eastAsia"/>
                <w:color w:val="000000" w:themeColor="text1"/>
                <w:szCs w:val="22"/>
              </w:rPr>
              <w:t>E9.1.2</w:t>
            </w:r>
          </w:p>
        </w:tc>
        <w:tc>
          <w:tcPr>
            <w:tcW w:w="10978" w:type="dxa"/>
            <w:vAlign w:val="center"/>
          </w:tcPr>
          <w:p>
            <w:pPr>
              <w:spacing w:line="360" w:lineRule="auto"/>
              <w:rPr>
                <w:color w:val="000000" w:themeColor="text1"/>
                <w:szCs w:val="22"/>
              </w:rPr>
            </w:pPr>
            <w:r>
              <w:rPr>
                <w:rFonts w:hint="eastAsia"/>
                <w:color w:val="000000" w:themeColor="text1"/>
                <w:szCs w:val="22"/>
              </w:rPr>
              <w:t>建立实施了《法律法规及其他要求控制程序》。</w:t>
            </w:r>
          </w:p>
          <w:p>
            <w:pPr>
              <w:spacing w:line="360" w:lineRule="auto"/>
              <w:ind w:firstLine="420" w:firstLineChars="200"/>
              <w:rPr>
                <w:color w:val="000000" w:themeColor="text1"/>
                <w:szCs w:val="22"/>
              </w:rPr>
            </w:pPr>
            <w:r>
              <w:rPr>
                <w:rFonts w:hint="eastAsia"/>
                <w:color w:val="000000" w:themeColor="text1"/>
                <w:szCs w:val="22"/>
              </w:rPr>
              <w:t>提供了“法律法规和其他要求清单”，包含了</w:t>
            </w:r>
            <w:r>
              <w:rPr>
                <w:rFonts w:hint="eastAsia"/>
                <w:color w:val="000000" w:themeColor="text1"/>
                <w:szCs w:val="22"/>
                <w:lang w:val="en-US" w:eastAsia="zh-CN"/>
              </w:rPr>
              <w:t>61</w:t>
            </w:r>
            <w:r>
              <w:rPr>
                <w:rFonts w:hint="eastAsia"/>
                <w:color w:val="000000" w:themeColor="text1"/>
                <w:szCs w:val="22"/>
              </w:rPr>
              <w:t>个环境法律法规、标准和其他要求。如中华人民共和国环境保护法、中华人民共和国消防法、中华人民共和国环境影响评价法、中华人民共和国水污染防治法、中华人民共和国噪声污染防治法、</w:t>
            </w:r>
            <w:r>
              <w:rPr>
                <w:rFonts w:hint="eastAsia"/>
                <w:color w:val="000000" w:themeColor="text1"/>
                <w:szCs w:val="22"/>
                <w:lang w:val="en-US" w:eastAsia="zh-CN"/>
              </w:rPr>
              <w:t>浙江省</w:t>
            </w:r>
            <w:r>
              <w:rPr>
                <w:rFonts w:hint="eastAsia"/>
                <w:color w:val="000000" w:themeColor="text1"/>
                <w:szCs w:val="22"/>
              </w:rPr>
              <w:t>消防条例、</w:t>
            </w:r>
            <w:r>
              <w:rPr>
                <w:rFonts w:hint="eastAsia"/>
              </w:rPr>
              <w:t>《汽车排气污染监督管理办法》2010-12-22修正</w:t>
            </w:r>
            <w:r>
              <w:rPr>
                <w:rFonts w:hint="eastAsia"/>
                <w:color w:val="000000" w:themeColor="text1"/>
                <w:szCs w:val="22"/>
              </w:rPr>
              <w:t>等。个别法规不是最近版本，进行了现场交流。</w:t>
            </w:r>
          </w:p>
          <w:p>
            <w:pPr>
              <w:spacing w:line="360" w:lineRule="auto"/>
              <w:rPr>
                <w:color w:val="000000" w:themeColor="text1"/>
                <w:szCs w:val="22"/>
              </w:rPr>
            </w:pPr>
            <w:r>
              <w:rPr>
                <w:rFonts w:hint="eastAsia"/>
                <w:color w:val="000000" w:themeColor="text1"/>
                <w:szCs w:val="22"/>
                <w:lang w:eastAsia="zh-CN"/>
              </w:rPr>
              <w:t>管理科</w:t>
            </w:r>
            <w:r>
              <w:rPr>
                <w:rFonts w:hint="eastAsia"/>
                <w:color w:val="000000" w:themeColor="text1"/>
                <w:szCs w:val="22"/>
              </w:rPr>
              <w:t>根据需要随时网上获取、识别更新，并通过培训、宣传、会议等形式传达给员工和相关方，各部门如有需要随时到</w:t>
            </w:r>
            <w:r>
              <w:rPr>
                <w:rFonts w:hint="eastAsia"/>
                <w:color w:val="000000" w:themeColor="text1"/>
                <w:szCs w:val="22"/>
                <w:lang w:eastAsia="zh-CN"/>
              </w:rPr>
              <w:t>管理科</w:t>
            </w:r>
            <w:r>
              <w:rPr>
                <w:rFonts w:hint="eastAsia"/>
                <w:color w:val="000000" w:themeColor="text1"/>
                <w:szCs w:val="22"/>
              </w:rPr>
              <w:t>查阅。</w:t>
            </w:r>
          </w:p>
          <w:p>
            <w:pPr>
              <w:spacing w:line="360" w:lineRule="auto"/>
              <w:ind w:firstLine="420" w:firstLineChars="200"/>
              <w:rPr>
                <w:color w:val="000000" w:themeColor="text1"/>
                <w:szCs w:val="22"/>
              </w:rPr>
            </w:pPr>
            <w:r>
              <w:rPr>
                <w:rFonts w:hint="eastAsia"/>
                <w:color w:val="000000" w:themeColor="text1"/>
                <w:szCs w:val="22"/>
              </w:rPr>
              <w:t>现场提供了“环境合规性评价表”,对公司的废水：清洗地面、生产和生活废水、固废：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rPr>
                <w:rFonts w:ascii="楷体" w:hAnsi="楷体" w:eastAsia="楷体" w:cs="楷体"/>
                <w:sz w:val="24"/>
                <w:szCs w:val="24"/>
              </w:rPr>
            </w:pPr>
            <w:r>
              <w:rPr>
                <w:rFonts w:hint="eastAsia"/>
                <w:color w:val="000000" w:themeColor="text1"/>
                <w:szCs w:val="22"/>
              </w:rPr>
              <w:t>评价人：</w:t>
            </w:r>
            <w:r>
              <w:rPr>
                <w:rFonts w:hint="eastAsia"/>
                <w:color w:val="000000" w:themeColor="text1"/>
                <w:szCs w:val="22"/>
                <w:lang w:val="en-US" w:eastAsia="zh-CN"/>
              </w:rPr>
              <w:t>管理者代表、各部门负责人</w:t>
            </w:r>
            <w:r>
              <w:rPr>
                <w:rFonts w:hint="eastAsia"/>
                <w:color w:val="000000" w:themeColor="text1"/>
                <w:szCs w:val="22"/>
              </w:rPr>
              <w:t xml:space="preserve"> 批准：</w:t>
            </w:r>
            <w:r>
              <w:rPr>
                <w:rFonts w:hint="eastAsia"/>
                <w:color w:val="000000" w:themeColor="text1"/>
                <w:szCs w:val="22"/>
                <w:lang w:val="en-US" w:eastAsia="zh-CN"/>
              </w:rPr>
              <w:t>章壮志</w:t>
            </w:r>
            <w:r>
              <w:rPr>
                <w:rFonts w:hint="eastAsia"/>
                <w:color w:val="000000" w:themeColor="text1"/>
                <w:szCs w:val="22"/>
              </w:rPr>
              <w:t>，日期：20</w:t>
            </w:r>
            <w:r>
              <w:rPr>
                <w:rFonts w:hint="eastAsia"/>
                <w:color w:val="000000" w:themeColor="text1"/>
                <w:szCs w:val="22"/>
                <w:lang w:val="en-US" w:eastAsia="zh-CN"/>
              </w:rPr>
              <w:t>21</w:t>
            </w:r>
            <w:r>
              <w:rPr>
                <w:rFonts w:hint="eastAsia"/>
                <w:color w:val="000000" w:themeColor="text1"/>
                <w:szCs w:val="22"/>
              </w:rPr>
              <w:t>年</w:t>
            </w:r>
            <w:r>
              <w:rPr>
                <w:rFonts w:hint="eastAsia"/>
                <w:color w:val="000000" w:themeColor="text1"/>
                <w:szCs w:val="22"/>
                <w:lang w:val="en-US" w:eastAsia="zh-CN"/>
              </w:rPr>
              <w:t>6</w:t>
            </w:r>
            <w:r>
              <w:rPr>
                <w:rFonts w:hint="eastAsia"/>
                <w:color w:val="000000" w:themeColor="text1"/>
                <w:szCs w:val="22"/>
              </w:rPr>
              <w:t>月</w:t>
            </w:r>
            <w:r>
              <w:rPr>
                <w:rFonts w:hint="eastAsia"/>
                <w:color w:val="000000" w:themeColor="text1"/>
                <w:szCs w:val="22"/>
                <w:lang w:val="en-US" w:eastAsia="zh-CN"/>
              </w:rPr>
              <w:t>30</w:t>
            </w:r>
            <w:r>
              <w:rPr>
                <w:rFonts w:hint="eastAsia"/>
                <w:color w:val="000000" w:themeColor="text1"/>
                <w:szCs w:val="22"/>
              </w:rPr>
              <w:t>日。</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08" w:type="dxa"/>
          </w:tcPr>
          <w:p>
            <w:pPr>
              <w:rPr>
                <w:szCs w:val="22"/>
              </w:rPr>
            </w:pPr>
          </w:p>
          <w:p>
            <w:pPr>
              <w:ind w:firstLine="420" w:firstLineChars="200"/>
              <w:rPr>
                <w:szCs w:val="22"/>
              </w:rPr>
            </w:pPr>
          </w:p>
          <w:p>
            <w:pPr>
              <w:ind w:firstLine="420" w:firstLineChars="200"/>
              <w:rPr>
                <w:szCs w:val="22"/>
              </w:rPr>
            </w:pPr>
          </w:p>
          <w:p>
            <w:pPr>
              <w:ind w:firstLine="420" w:firstLineChars="200"/>
            </w:pPr>
            <w:r>
              <w:rPr>
                <w:rFonts w:hint="eastAsia"/>
                <w:szCs w:val="22"/>
              </w:rPr>
              <w:t>能力、意识</w:t>
            </w:r>
          </w:p>
        </w:tc>
        <w:tc>
          <w:tcPr>
            <w:tcW w:w="968" w:type="dxa"/>
          </w:tcPr>
          <w:p>
            <w:pPr>
              <w:rPr>
                <w:szCs w:val="22"/>
              </w:rPr>
            </w:pPr>
          </w:p>
          <w:p>
            <w:pPr>
              <w:ind w:firstLine="210" w:firstLineChars="100"/>
              <w:rPr>
                <w:szCs w:val="22"/>
              </w:rPr>
            </w:pPr>
          </w:p>
          <w:p>
            <w:pPr>
              <w:ind w:firstLine="210" w:firstLineChars="100"/>
              <w:rPr>
                <w:szCs w:val="22"/>
              </w:rPr>
            </w:pPr>
          </w:p>
          <w:p>
            <w:pPr>
              <w:ind w:firstLine="210" w:firstLineChars="100"/>
              <w:rPr>
                <w:szCs w:val="22"/>
              </w:rPr>
            </w:pPr>
            <w:r>
              <w:rPr>
                <w:rFonts w:hint="eastAsia"/>
                <w:szCs w:val="22"/>
              </w:rPr>
              <w:t>7.2</w:t>
            </w:r>
          </w:p>
          <w:p>
            <w:pPr>
              <w:ind w:firstLine="210" w:firstLineChars="100"/>
            </w:pPr>
            <w:r>
              <w:rPr>
                <w:rFonts w:hint="eastAsia"/>
                <w:szCs w:val="22"/>
              </w:rPr>
              <w:t>7.3</w:t>
            </w:r>
          </w:p>
        </w:tc>
        <w:tc>
          <w:tcPr>
            <w:tcW w:w="10978" w:type="dxa"/>
          </w:tcPr>
          <w:p>
            <w:pPr>
              <w:spacing w:line="360" w:lineRule="auto"/>
              <w:ind w:firstLine="420" w:firstLineChars="200"/>
              <w:rPr>
                <w:rFonts w:ascii="宋体" w:hAnsi="宋体"/>
                <w:szCs w:val="21"/>
              </w:rPr>
            </w:pPr>
            <w:r>
              <w:rPr>
                <w:rFonts w:hint="eastAsia" w:ascii="宋体" w:hAnsi="宋体"/>
                <w:szCs w:val="21"/>
              </w:rPr>
              <w:t>公司制定了《岗位人员任职要求》，对各部门领导层、生产部（成员）、销售部、采购部、财务部 、技术部、品质部负责人岗位能力工作权限与内容、任职资格（经验知识个人素质、专业技能）的等作出了规定。</w:t>
            </w:r>
          </w:p>
          <w:p>
            <w:pPr>
              <w:spacing w:line="360" w:lineRule="auto"/>
              <w:ind w:firstLine="420" w:firstLineChars="200"/>
              <w:rPr>
                <w:rFonts w:hint="eastAsia" w:ascii="宋体" w:hAnsi="宋体"/>
                <w:szCs w:val="21"/>
              </w:rPr>
            </w:pPr>
            <w:r>
              <w:rPr>
                <w:rFonts w:hint="eastAsia" w:ascii="宋体" w:hAnsi="宋体"/>
                <w:szCs w:val="21"/>
              </w:rPr>
              <w:t>查看《员工任职能力评价表》，其中包括：总经理、管代、各部门负责人等。能够满足公司环境管理体系运行以及体系覆盖产品生产和服务的需求。</w:t>
            </w:r>
          </w:p>
          <w:p>
            <w:pPr>
              <w:spacing w:line="360" w:lineRule="auto"/>
              <w:ind w:firstLine="420" w:firstLineChars="200"/>
              <w:rPr>
                <w:rFonts w:ascii="宋体" w:hAnsi="宋体"/>
                <w:szCs w:val="21"/>
              </w:rPr>
            </w:pPr>
            <w:r>
              <w:rPr>
                <w:rFonts w:hint="eastAsia" w:ascii="宋体" w:hAnsi="宋体"/>
                <w:szCs w:val="21"/>
              </w:rPr>
              <w:t>查看20</w:t>
            </w:r>
            <w:r>
              <w:rPr>
                <w:rFonts w:hint="eastAsia" w:ascii="宋体" w:hAnsi="宋体"/>
                <w:szCs w:val="21"/>
                <w:lang w:val="en-US" w:eastAsia="zh-CN"/>
              </w:rPr>
              <w:t>21</w:t>
            </w:r>
            <w:r>
              <w:rPr>
                <w:rFonts w:hint="eastAsia" w:ascii="宋体" w:hAnsi="宋体"/>
                <w:szCs w:val="21"/>
              </w:rPr>
              <w:t>年培训计划表，内容包括：管理方针、目标及管理方案、管理体系文件再培训、环境因素识别、危险源辨别再培训、管理职责培训、危废弃物特性知识培训</w:t>
            </w:r>
            <w:r>
              <w:rPr>
                <w:rFonts w:hint="eastAsia" w:ascii="宋体" w:hAnsi="宋体"/>
                <w:szCs w:val="21"/>
                <w:lang w:eastAsia="zh-CN"/>
              </w:rPr>
              <w:t>、</w:t>
            </w:r>
            <w:r>
              <w:rPr>
                <w:rFonts w:hint="eastAsia" w:ascii="宋体" w:hAnsi="宋体"/>
                <w:szCs w:val="21"/>
              </w:rPr>
              <w:t>环境及安全防护知识培训</w:t>
            </w:r>
            <w:r>
              <w:rPr>
                <w:rFonts w:hint="eastAsia" w:ascii="宋体" w:hAnsi="宋体"/>
                <w:szCs w:val="21"/>
                <w:lang w:eastAsia="zh-CN"/>
              </w:rPr>
              <w:t>、</w:t>
            </w:r>
            <w:r>
              <w:rPr>
                <w:rFonts w:hint="eastAsia" w:ascii="宋体" w:hAnsi="宋体"/>
                <w:szCs w:val="21"/>
              </w:rPr>
              <w:t>内审员培训</w:t>
            </w:r>
            <w:r>
              <w:rPr>
                <w:rFonts w:hint="eastAsia" w:ascii="宋体" w:hAnsi="宋体"/>
                <w:szCs w:val="21"/>
                <w:lang w:eastAsia="zh-CN"/>
              </w:rPr>
              <w:t>、</w:t>
            </w:r>
            <w:r>
              <w:rPr>
                <w:rFonts w:hint="eastAsia" w:ascii="宋体" w:hAnsi="宋体"/>
                <w:szCs w:val="21"/>
              </w:rPr>
              <w:t>管理评审培训</w:t>
            </w:r>
            <w:r>
              <w:rPr>
                <w:rFonts w:hint="eastAsia" w:ascii="宋体" w:hAnsi="宋体"/>
                <w:szCs w:val="21"/>
                <w:lang w:eastAsia="zh-CN"/>
              </w:rPr>
              <w:t>，</w:t>
            </w:r>
            <w:r>
              <w:rPr>
                <w:rFonts w:hint="eastAsia" w:ascii="宋体" w:hAnsi="宋体"/>
                <w:szCs w:val="21"/>
              </w:rPr>
              <w:t>查培训记录、参加培训人员、培训方式、内容、考核方式等内容。</w:t>
            </w:r>
          </w:p>
          <w:p>
            <w:pPr>
              <w:spacing w:line="360" w:lineRule="auto"/>
              <w:ind w:firstLine="420" w:firstLineChars="200"/>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val="en-US" w:eastAsia="zh-CN"/>
              </w:rPr>
              <w:t>抽</w:t>
            </w:r>
            <w:r>
              <w:rPr>
                <w:rFonts w:hint="eastAsia" w:ascii="宋体" w:hAnsi="宋体"/>
                <w:szCs w:val="21"/>
              </w:rPr>
              <w:t>管理方针、目标及管理方案、管理体系文件再培训、环境因素识别、危险源辨别再培训</w:t>
            </w:r>
            <w:r>
              <w:rPr>
                <w:rFonts w:hint="eastAsia" w:ascii="宋体" w:hAnsi="宋体"/>
                <w:szCs w:val="21"/>
                <w:lang w:val="en-US" w:eastAsia="zh-CN"/>
              </w:rPr>
              <w:t>相应的记录文件：</w:t>
            </w:r>
            <w:r>
              <w:rPr>
                <w:rFonts w:hint="eastAsia" w:ascii="宋体" w:hAnsi="宋体" w:eastAsia="宋体"/>
                <w:szCs w:val="21"/>
                <w:lang w:eastAsia="zh-CN"/>
              </w:rPr>
              <w:drawing>
                <wp:inline distT="0" distB="0" distL="114300" distR="114300">
                  <wp:extent cx="6830060" cy="2561590"/>
                  <wp:effectExtent l="0" t="0" r="2540" b="3810"/>
                  <wp:docPr id="4" name="图片 4" descr="微信图片_2021091613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916131817"/>
                          <pic:cNvPicPr>
                            <a:picLocks noChangeAspect="1"/>
                          </pic:cNvPicPr>
                        </pic:nvPicPr>
                        <pic:blipFill>
                          <a:blip r:embed="rId8"/>
                          <a:stretch>
                            <a:fillRect/>
                          </a:stretch>
                        </pic:blipFill>
                        <pic:spPr>
                          <a:xfrm>
                            <a:off x="0" y="0"/>
                            <a:ext cx="6830060" cy="2561590"/>
                          </a:xfrm>
                          <a:prstGeom prst="rect">
                            <a:avLst/>
                          </a:prstGeom>
                        </pic:spPr>
                      </pic:pic>
                    </a:graphicData>
                  </a:graphic>
                </wp:inline>
              </w:drawing>
            </w:r>
          </w:p>
          <w:p>
            <w:pPr>
              <w:spacing w:line="360" w:lineRule="auto"/>
              <w:ind w:firstLine="420" w:firstLineChars="200"/>
              <w:rPr>
                <w:rFonts w:ascii="宋体" w:hAnsi="宋体"/>
                <w:szCs w:val="21"/>
              </w:rPr>
            </w:pPr>
            <w:r>
              <w:rPr>
                <w:rFonts w:hint="eastAsia" w:ascii="宋体" w:hAnsi="宋体"/>
                <w:szCs w:val="21"/>
              </w:rPr>
              <w:t>提供相应的培训记录，及人员签到表和培训效果评价。</w:t>
            </w:r>
          </w:p>
          <w:p>
            <w:pPr>
              <w:spacing w:line="360" w:lineRule="auto"/>
              <w:ind w:firstLine="420" w:firstLineChars="200"/>
              <w:rPr>
                <w:rFonts w:ascii="宋体" w:hAnsi="宋体"/>
                <w:szCs w:val="21"/>
              </w:rPr>
            </w:pPr>
            <w:r>
              <w:rPr>
                <w:rFonts w:hint="eastAsia" w:ascii="宋体" w:hAnsi="宋体"/>
                <w:szCs w:val="21"/>
              </w:rPr>
              <w:t>人力资源控制基本满足要求。</w:t>
            </w:r>
          </w:p>
          <w:p>
            <w:pPr>
              <w:spacing w:line="360" w:lineRule="auto"/>
              <w:ind w:firstLine="420" w:firstLineChars="200"/>
              <w:rPr>
                <w:rFonts w:ascii="宋体" w:hAnsi="宋体"/>
                <w:szCs w:val="21"/>
              </w:rPr>
            </w:pPr>
            <w:r>
              <w:rPr>
                <w:rFonts w:hint="eastAsia" w:ascii="宋体" w:hAnsi="宋体"/>
                <w:szCs w:val="21"/>
                <w:lang w:val="en-US" w:eastAsia="zh-CN"/>
              </w:rPr>
              <w:t>倪缝鹏科</w:t>
            </w:r>
            <w:r>
              <w:rPr>
                <w:rFonts w:hint="eastAsia"/>
                <w:color w:val="000000" w:themeColor="text1"/>
              </w:rPr>
              <w:t>长</w:t>
            </w:r>
            <w:r>
              <w:rPr>
                <w:rFonts w:hint="eastAsia" w:ascii="宋体" w:hAnsi="宋体"/>
                <w:szCs w:val="21"/>
              </w:rPr>
              <w:t>介绍到通过培训、面谈等沟通方式，提高了员工的素质，增强了员工的环保意识，员工认识到了自身贡献的重要性，目前公司人员比较稳定，人员没有变化。</w:t>
            </w:r>
          </w:p>
          <w:p>
            <w:pPr>
              <w:spacing w:line="360" w:lineRule="auto"/>
              <w:rPr>
                <w:rFonts w:ascii="宋体" w:hAnsi="宋体"/>
                <w:szCs w:val="21"/>
              </w:rPr>
            </w:pPr>
            <w:r>
              <w:rPr>
                <w:rFonts w:hint="eastAsia" w:ascii="宋体" w:hAnsi="宋体"/>
                <w:szCs w:val="21"/>
              </w:rPr>
              <w:t>企业已对人力资源的管理、控制进行了策划，并已实施控制，针对体系文件的系统学习进行了交流。</w:t>
            </w:r>
          </w:p>
        </w:tc>
        <w:tc>
          <w:tcPr>
            <w:tcW w:w="1155" w:type="dxa"/>
          </w:tcPr>
          <w:p/>
          <w:p/>
          <w:p/>
          <w:p/>
          <w:p/>
          <w:p/>
          <w:p>
            <w:r>
              <w:rPr>
                <w:rFonts w:hint="eastAsia"/>
                <w:lang w:val="en-US" w:eastAsia="zh-CN"/>
              </w:rPr>
              <w:t>合格</w:t>
            </w:r>
          </w:p>
          <w:p/>
          <w:p/>
          <w:p/>
          <w:p/>
          <w:p/>
          <w:p/>
          <w:p/>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8" w:type="dxa"/>
          </w:tcPr>
          <w:p>
            <w:pPr>
              <w:rPr>
                <w:rFonts w:hint="eastAsia" w:eastAsia="宋体"/>
                <w:szCs w:val="22"/>
                <w:lang w:val="en-US" w:eastAsia="zh-CN"/>
              </w:rPr>
            </w:pPr>
            <w:r>
              <w:rPr>
                <w:rFonts w:hint="eastAsia"/>
                <w:szCs w:val="22"/>
                <w:lang w:val="en-US" w:eastAsia="zh-CN"/>
              </w:rPr>
              <w:t>沟通</w:t>
            </w:r>
          </w:p>
        </w:tc>
        <w:tc>
          <w:tcPr>
            <w:tcW w:w="968" w:type="dxa"/>
          </w:tcPr>
          <w:p>
            <w:pPr>
              <w:rPr>
                <w:rFonts w:hint="default" w:eastAsia="宋体"/>
                <w:szCs w:val="22"/>
                <w:lang w:val="en-US" w:eastAsia="zh-CN"/>
              </w:rPr>
            </w:pPr>
            <w:r>
              <w:rPr>
                <w:rFonts w:hint="eastAsia"/>
                <w:szCs w:val="22"/>
                <w:lang w:val="en-US" w:eastAsia="zh-CN"/>
              </w:rPr>
              <w:t>7.4</w:t>
            </w:r>
          </w:p>
        </w:tc>
        <w:tc>
          <w:tcPr>
            <w:tcW w:w="10978" w:type="dxa"/>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编制了《 信息交流控制程序》，规定：组织在各部门之间建立了与体系有关的信息通渠沟道，借助于会议、电话、口头交流等方式使全体员工达到沟通和理解。目前各部门协调一致，工作上的借口基本理顺。 </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管代</w:t>
            </w:r>
            <w:r>
              <w:rPr>
                <w:rFonts w:hint="eastAsia" w:asciiTheme="minorEastAsia" w:hAnsiTheme="minorEastAsia" w:eastAsiaTheme="minorEastAsia" w:cstheme="minorEastAsia"/>
                <w:sz w:val="21"/>
                <w:szCs w:val="21"/>
                <w:lang w:val="en-US" w:eastAsia="zh-CN"/>
              </w:rPr>
              <w:t>倪缝鹏</w:t>
            </w:r>
            <w:r>
              <w:rPr>
                <w:rFonts w:hint="eastAsia" w:asciiTheme="minorEastAsia" w:hAnsiTheme="minorEastAsia" w:eastAsiaTheme="minorEastAsia" w:cstheme="minorEastAsia"/>
                <w:sz w:val="21"/>
                <w:szCs w:val="21"/>
              </w:rPr>
              <w:t>介绍公司的</w:t>
            </w:r>
            <w:r>
              <w:rPr>
                <w:rFonts w:hint="eastAsia" w:asciiTheme="minorEastAsia" w:hAnsiTheme="minorEastAsia" w:eastAsiaTheme="minorEastAsia" w:cstheme="minorEastAsia"/>
                <w:sz w:val="21"/>
                <w:szCs w:val="21"/>
                <w:lang w:val="en-US" w:eastAsia="zh-CN"/>
              </w:rPr>
              <w:t>业务是</w:t>
            </w:r>
            <w:r>
              <w:rPr>
                <w:rFonts w:hint="eastAsia" w:asciiTheme="minorEastAsia" w:hAnsiTheme="minorEastAsia" w:eastAsiaTheme="minorEastAsia" w:cstheme="minorEastAsia"/>
                <w:sz w:val="21"/>
                <w:szCs w:val="21"/>
              </w:rPr>
              <w:t>自动化精密汽车模具的设计、制造，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现场查见会议记录、培训记录、文件签收等组织内部培训方式相关记录。</w:t>
            </w:r>
          </w:p>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管理科</w:t>
            </w:r>
            <w:r>
              <w:rPr>
                <w:rFonts w:hint="eastAsia" w:asciiTheme="minorEastAsia" w:hAnsiTheme="minorEastAsia" w:eastAsiaTheme="minorEastAsia" w:cstheme="minorEastAsia"/>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adjustRightInd/>
              <w:snapToGrid/>
              <w:spacing w:after="0"/>
              <w:jc w:val="both"/>
              <w:rPr>
                <w:rFonts w:hint="eastAsia" w:ascii="宋体" w:hAnsi="宋体"/>
                <w:szCs w:val="21"/>
              </w:rPr>
            </w:pPr>
            <w:r>
              <w:rPr>
                <w:rFonts w:hint="eastAsia" w:asciiTheme="minorEastAsia" w:hAnsiTheme="minorEastAsia" w:eastAsiaTheme="minorEastAsia" w:cstheme="minorEastAsia"/>
                <w:sz w:val="21"/>
                <w:szCs w:val="21"/>
              </w:rPr>
              <w:t>经交流：目前与环保、劳动、消防、安监部门的信息交流主要是参加会议、接收来文、电话、邮件等，均按要求予以传达和落实，沟通情况较好。</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8" w:type="dxa"/>
          </w:tcPr>
          <w:p>
            <w:pPr>
              <w:rPr>
                <w:szCs w:val="22"/>
              </w:rPr>
            </w:pPr>
          </w:p>
          <w:p>
            <w:pPr>
              <w:rPr>
                <w:szCs w:val="22"/>
              </w:rPr>
            </w:pPr>
          </w:p>
          <w:p>
            <w:pPr>
              <w:rPr>
                <w:szCs w:val="22"/>
              </w:rPr>
            </w:pPr>
            <w:r>
              <w:rPr>
                <w:rFonts w:hint="eastAsia"/>
                <w:szCs w:val="22"/>
              </w:rPr>
              <w:t>形成文件的信息总则</w:t>
            </w:r>
          </w:p>
        </w:tc>
        <w:tc>
          <w:tcPr>
            <w:tcW w:w="968" w:type="dxa"/>
          </w:tcPr>
          <w:p>
            <w:pPr>
              <w:rPr>
                <w:szCs w:val="22"/>
              </w:rPr>
            </w:pPr>
          </w:p>
          <w:p>
            <w:pPr>
              <w:rPr>
                <w:szCs w:val="22"/>
              </w:rPr>
            </w:pPr>
          </w:p>
          <w:p>
            <w:pPr>
              <w:rPr>
                <w:szCs w:val="22"/>
              </w:rPr>
            </w:pPr>
            <w:r>
              <w:rPr>
                <w:rFonts w:hint="eastAsia"/>
                <w:szCs w:val="22"/>
              </w:rPr>
              <w:t>7.5.1</w:t>
            </w:r>
          </w:p>
          <w:p>
            <w:pPr>
              <w:rPr>
                <w:szCs w:val="22"/>
              </w:rPr>
            </w:pPr>
          </w:p>
        </w:tc>
        <w:tc>
          <w:tcPr>
            <w:tcW w:w="10978" w:type="dxa"/>
          </w:tcPr>
          <w:p>
            <w:pPr>
              <w:spacing w:line="360" w:lineRule="auto"/>
              <w:rPr>
                <w:rFonts w:ascii="宋体" w:hAnsi="宋体"/>
                <w:szCs w:val="21"/>
              </w:rPr>
            </w:pPr>
            <w:r>
              <w:rPr>
                <w:rFonts w:hint="eastAsia" w:ascii="宋体" w:hAnsi="宋体"/>
                <w:szCs w:val="21"/>
                <w:lang w:val="en-US" w:eastAsia="zh-CN"/>
              </w:rPr>
              <w:t>倪缝鹏科</w:t>
            </w:r>
            <w:r>
              <w:rPr>
                <w:rFonts w:hint="eastAsia"/>
                <w:color w:val="000000" w:themeColor="text1"/>
              </w:rPr>
              <w:t>长</w:t>
            </w:r>
            <w:r>
              <w:rPr>
                <w:rFonts w:hint="eastAsia" w:ascii="宋体" w:hAnsi="宋体"/>
                <w:szCs w:val="21"/>
              </w:rPr>
              <w:t xml:space="preserve">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ascii="宋体" w:hAnsi="宋体"/>
                <w:szCs w:val="21"/>
              </w:rPr>
            </w:pPr>
            <w:r>
              <w:rPr>
                <w:rFonts w:hint="eastAsia" w:ascii="宋体" w:hAnsi="宋体"/>
                <w:szCs w:val="21"/>
              </w:rPr>
              <w:t>1）在企业管理手册、程序文件中包括了：管理方针、体系覆盖范围的描述、管理目标、主要要素、过程及其相互作用的描述，以及相关文件查询途径。</w:t>
            </w:r>
          </w:p>
          <w:p>
            <w:pPr>
              <w:spacing w:line="360" w:lineRule="auto"/>
              <w:rPr>
                <w:rFonts w:ascii="宋体" w:hAnsi="宋体"/>
                <w:szCs w:val="21"/>
              </w:rPr>
            </w:pPr>
            <w:r>
              <w:rPr>
                <w:rFonts w:hint="eastAsia" w:ascii="宋体" w:hAnsi="宋体"/>
                <w:szCs w:val="21"/>
              </w:rPr>
              <w:t>2）编制了涉及安全、环境体系过程所需体系有效运行所需管理制度；</w:t>
            </w:r>
          </w:p>
          <w:p>
            <w:pPr>
              <w:spacing w:line="360" w:lineRule="auto"/>
              <w:rPr>
                <w:rFonts w:ascii="宋体" w:hAnsi="宋体"/>
                <w:szCs w:val="21"/>
              </w:rPr>
            </w:pPr>
            <w:r>
              <w:rPr>
                <w:rFonts w:hint="eastAsia" w:ascii="宋体" w:hAnsi="宋体"/>
                <w:szCs w:val="21"/>
              </w:rPr>
              <w:t>3）收集了有关外来文件；</w:t>
            </w:r>
          </w:p>
          <w:p>
            <w:pPr>
              <w:spacing w:line="360" w:lineRule="auto"/>
              <w:rPr>
                <w:rFonts w:ascii="宋体" w:hAnsi="宋体"/>
                <w:szCs w:val="21"/>
              </w:rPr>
            </w:pPr>
            <w:r>
              <w:rPr>
                <w:rFonts w:hint="eastAsia" w:ascii="宋体" w:hAnsi="宋体"/>
                <w:szCs w:val="21"/>
              </w:rPr>
              <w:t>4）策划了有关体系运行的记录。</w:t>
            </w:r>
          </w:p>
          <w:p>
            <w:pPr>
              <w:spacing w:line="360" w:lineRule="auto"/>
              <w:rPr>
                <w:rFonts w:ascii="宋体" w:hAnsi="宋体"/>
                <w:szCs w:val="21"/>
              </w:rPr>
            </w:pPr>
            <w:r>
              <w:rPr>
                <w:rFonts w:hint="eastAsia" w:ascii="宋体" w:hAnsi="宋体"/>
                <w:szCs w:val="21"/>
              </w:rPr>
              <w:t>企业编制了以上文件经</w:t>
            </w:r>
            <w:r>
              <w:rPr>
                <w:rFonts w:hint="eastAsia" w:ascii="宋体" w:hAnsi="宋体"/>
                <w:szCs w:val="21"/>
                <w:lang w:val="en-US" w:eastAsia="zh-CN"/>
              </w:rPr>
              <w:t>章壮志</w:t>
            </w:r>
            <w:r>
              <w:rPr>
                <w:rFonts w:hint="eastAsia" w:ascii="宋体" w:hAnsi="宋体"/>
                <w:szCs w:val="21"/>
              </w:rPr>
              <w:t>批准，于20</w:t>
            </w:r>
            <w:r>
              <w:rPr>
                <w:rFonts w:hint="eastAsia" w:ascii="宋体" w:hAnsi="宋体"/>
                <w:szCs w:val="21"/>
                <w:lang w:val="en-US" w:eastAsia="zh-CN"/>
              </w:rPr>
              <w:t>21</w:t>
            </w:r>
            <w:r>
              <w:rPr>
                <w:rFonts w:hint="eastAsia" w:ascii="宋体" w:hAnsi="宋体"/>
                <w:szCs w:val="21"/>
              </w:rPr>
              <w:t>年3月1日发布实施。</w:t>
            </w:r>
          </w:p>
          <w:p>
            <w:pPr>
              <w:spacing w:line="360" w:lineRule="auto"/>
            </w:pPr>
            <w:r>
              <w:rPr>
                <w:rFonts w:hint="eastAsia" w:ascii="宋体" w:hAnsi="宋体"/>
                <w:szCs w:val="21"/>
              </w:rPr>
              <w:t>企业手册依据标准的要求，对企业适用情况进行了描述。</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tcPr>
          <w:p>
            <w:pPr>
              <w:rPr>
                <w:szCs w:val="22"/>
              </w:rPr>
            </w:pPr>
          </w:p>
          <w:p>
            <w:pPr>
              <w:rPr>
                <w:szCs w:val="22"/>
              </w:rPr>
            </w:pPr>
          </w:p>
          <w:p>
            <w:pPr>
              <w:rPr>
                <w:szCs w:val="22"/>
              </w:rPr>
            </w:pPr>
            <w:r>
              <w:rPr>
                <w:rFonts w:ascii="楷体" w:hAnsi="楷体" w:eastAsia="楷体"/>
                <w:sz w:val="24"/>
                <w:szCs w:val="24"/>
              </w:rPr>
              <w:t>文件控制</w:t>
            </w:r>
          </w:p>
        </w:tc>
        <w:tc>
          <w:tcPr>
            <w:tcW w:w="968" w:type="dxa"/>
          </w:tcPr>
          <w:p>
            <w:pPr>
              <w:rPr>
                <w:szCs w:val="22"/>
              </w:rPr>
            </w:pPr>
          </w:p>
          <w:p>
            <w:pPr>
              <w:rPr>
                <w:szCs w:val="22"/>
              </w:rPr>
            </w:pPr>
          </w:p>
          <w:p>
            <w:pPr>
              <w:rPr>
                <w:szCs w:val="22"/>
              </w:rPr>
            </w:pPr>
            <w:r>
              <w:rPr>
                <w:rFonts w:hint="eastAsia"/>
                <w:szCs w:val="22"/>
              </w:rPr>
              <w:t>7.5.2</w:t>
            </w:r>
          </w:p>
          <w:p>
            <w:pPr>
              <w:rPr>
                <w:szCs w:val="22"/>
              </w:rPr>
            </w:pPr>
            <w:r>
              <w:rPr>
                <w:rFonts w:hint="eastAsia"/>
                <w:szCs w:val="22"/>
              </w:rPr>
              <w:t>7.5.3</w:t>
            </w:r>
          </w:p>
        </w:tc>
        <w:tc>
          <w:tcPr>
            <w:tcW w:w="10978" w:type="dxa"/>
          </w:tcPr>
          <w:p>
            <w:pPr>
              <w:spacing w:line="360" w:lineRule="auto"/>
              <w:rPr>
                <w:rFonts w:ascii="宋体" w:hAnsi="宋体"/>
                <w:szCs w:val="21"/>
              </w:rPr>
            </w:pPr>
            <w:r>
              <w:rPr>
                <w:rFonts w:hint="eastAsia" w:ascii="宋体" w:hAnsi="宋体"/>
                <w:szCs w:val="21"/>
              </w:rPr>
              <w:t>企业编制了《文件和记录控制程序》，规定了有关企业文件、记录编制、标识、外来文件的收集编制、控制、管理要求。</w:t>
            </w:r>
          </w:p>
          <w:p>
            <w:pPr>
              <w:spacing w:line="360" w:lineRule="auto"/>
              <w:rPr>
                <w:rFonts w:ascii="宋体" w:hAnsi="宋体"/>
                <w:szCs w:val="21"/>
              </w:rPr>
            </w:pPr>
            <w:r>
              <w:rPr>
                <w:rFonts w:hint="eastAsia" w:ascii="宋体" w:hAnsi="宋体"/>
                <w:szCs w:val="21"/>
              </w:rPr>
              <w:t>为确保企业体系文件的适宜性和充分性，规定了企业文件资料的标识、格式、评审和批准的要求。</w:t>
            </w:r>
          </w:p>
          <w:p>
            <w:pPr>
              <w:spacing w:line="360" w:lineRule="auto"/>
              <w:rPr>
                <w:rFonts w:ascii="宋体" w:hAnsi="宋体"/>
                <w:szCs w:val="21"/>
              </w:rPr>
            </w:pPr>
            <w:r>
              <w:rPr>
                <w:rFonts w:hint="eastAsia" w:ascii="宋体" w:hAnsi="宋体"/>
                <w:szCs w:val="21"/>
              </w:rPr>
              <w:t>查企业提供的《环境管理手册》，查阅文审部分已经进行了修改，经过批准后进行更改。一阶段问题已整改有效，文件均为打印文稿，保持清晰，易于识别。</w:t>
            </w:r>
          </w:p>
          <w:p>
            <w:pPr>
              <w:spacing w:line="360" w:lineRule="auto"/>
              <w:rPr>
                <w:rFonts w:ascii="宋体" w:hAnsi="宋体"/>
                <w:szCs w:val="21"/>
              </w:rPr>
            </w:pPr>
            <w:r>
              <w:rPr>
                <w:rFonts w:hint="eastAsia" w:ascii="宋体" w:hAnsi="宋体"/>
                <w:szCs w:val="21"/>
              </w:rPr>
              <w:t xml:space="preserve">企业提供了针对以上文件的《文件发放记录》，记录了以上有关体系文件的发放情况。 </w:t>
            </w:r>
          </w:p>
          <w:p>
            <w:pPr>
              <w:spacing w:line="360" w:lineRule="auto"/>
              <w:rPr>
                <w:rFonts w:ascii="宋体" w:hAnsi="宋体"/>
                <w:szCs w:val="21"/>
              </w:rPr>
            </w:pPr>
            <w:r>
              <w:rPr>
                <w:rFonts w:hint="eastAsia" w:ascii="宋体" w:hAnsi="宋体"/>
                <w:szCs w:val="21"/>
              </w:rPr>
              <w:t>提供了《法律法规清单》列入了相关橡胶产品、检验、试验过程的安全、环境法规外来文件，并形成文件的信息的控制。对以上进行识别、收集。</w:t>
            </w:r>
          </w:p>
          <w:p>
            <w:pPr>
              <w:spacing w:line="360" w:lineRule="auto"/>
            </w:pPr>
            <w:r>
              <w:rPr>
                <w:rFonts w:hint="eastAsia" w:ascii="宋体" w:hAnsi="宋体"/>
                <w:szCs w:val="21"/>
              </w:rPr>
              <w:t>由</w:t>
            </w:r>
            <w:r>
              <w:rPr>
                <w:rFonts w:hint="eastAsia" w:ascii="宋体" w:hAnsi="宋体"/>
                <w:szCs w:val="21"/>
                <w:lang w:val="en-US" w:eastAsia="zh-CN"/>
              </w:rPr>
              <w:t>管理科</w:t>
            </w:r>
            <w:r>
              <w:rPr>
                <w:rFonts w:hint="eastAsia" w:ascii="宋体" w:hAnsi="宋体"/>
                <w:szCs w:val="21"/>
              </w:rPr>
              <w:t>负责通过到主管部门、网上收集、标准发布部门进行购买，并对外来文件的识别、跟踪、控制。</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968" w:type="dxa"/>
            <w:vAlign w:val="center"/>
          </w:tcPr>
          <w:p>
            <w:pPr>
              <w:spacing w:line="360" w:lineRule="auto"/>
              <w:rPr>
                <w:szCs w:val="22"/>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978" w:type="dxa"/>
            <w:vAlign w:val="center"/>
          </w:tcPr>
          <w:p>
            <w:pPr>
              <w:spacing w:line="360" w:lineRule="auto"/>
              <w:ind w:firstLine="420" w:firstLineChars="200"/>
              <w:rPr>
                <w:rFonts w:ascii="宋体" w:hAnsi="宋体"/>
                <w:szCs w:val="21"/>
              </w:rPr>
            </w:pPr>
            <w:r>
              <w:rPr>
                <w:rFonts w:hint="eastAsia" w:ascii="宋体" w:hAnsi="宋体"/>
                <w:szCs w:val="21"/>
              </w:rPr>
              <w:t>公司制定并实施了《</w:t>
            </w:r>
            <w:r>
              <w:rPr>
                <w:rFonts w:hint="eastAsia" w:ascii="宋体" w:hAnsi="宋体" w:eastAsia="宋体" w:cs="Times New Roman"/>
                <w:szCs w:val="21"/>
              </w:rPr>
              <w:t>环境影响运行控制程序》、《</w:t>
            </w:r>
            <w:r>
              <w:rPr>
                <w:rFonts w:hint="eastAsia" w:ascii="宋体" w:hAnsi="宋体"/>
                <w:szCs w:val="21"/>
              </w:rPr>
              <w:t>固体废弃</w:t>
            </w:r>
            <w:r>
              <w:rPr>
                <w:rFonts w:hint="eastAsia" w:ascii="宋体" w:hAnsi="宋体"/>
                <w:szCs w:val="21"/>
                <w:lang w:val="en-US" w:eastAsia="zh-CN"/>
              </w:rPr>
              <w:t>物管理规定</w:t>
            </w:r>
            <w:r>
              <w:rPr>
                <w:rFonts w:hint="eastAsia" w:ascii="宋体" w:hAnsi="宋体"/>
                <w:szCs w:val="21"/>
              </w:rPr>
              <w:t>》、《废水</w:t>
            </w:r>
            <w:r>
              <w:rPr>
                <w:rFonts w:hint="eastAsia" w:ascii="宋体" w:hAnsi="宋体"/>
                <w:szCs w:val="21"/>
                <w:lang w:val="en-US" w:eastAsia="zh-CN"/>
              </w:rPr>
              <w:t>排放管理规定</w:t>
            </w:r>
            <w:r>
              <w:rPr>
                <w:rFonts w:hint="eastAsia" w:ascii="宋体" w:hAnsi="宋体"/>
                <w:szCs w:val="21"/>
              </w:rPr>
              <w:t>》、《</w:t>
            </w:r>
            <w:r>
              <w:rPr>
                <w:rFonts w:hint="eastAsia" w:ascii="宋体" w:hAnsi="宋体"/>
                <w:szCs w:val="21"/>
                <w:lang w:val="en-US" w:eastAsia="zh-CN"/>
              </w:rPr>
              <w:t>相关方管理办法</w:t>
            </w:r>
            <w:r>
              <w:rPr>
                <w:rFonts w:hint="eastAsia" w:ascii="宋体" w:hAnsi="宋体"/>
                <w:szCs w:val="21"/>
              </w:rPr>
              <w:t>》、《</w:t>
            </w:r>
            <w:r>
              <w:rPr>
                <w:rFonts w:hint="eastAsia" w:ascii="宋体" w:hAnsi="宋体"/>
                <w:szCs w:val="21"/>
                <w:lang w:val="en-US" w:eastAsia="zh-CN"/>
              </w:rPr>
              <w:t>节能降耗管理规定</w:t>
            </w:r>
            <w:r>
              <w:rPr>
                <w:rFonts w:hint="eastAsia" w:ascii="宋体" w:hAnsi="宋体"/>
                <w:szCs w:val="21"/>
              </w:rPr>
              <w:t>》、《能源资源管理</w:t>
            </w:r>
            <w:r>
              <w:rPr>
                <w:rFonts w:hint="eastAsia" w:ascii="宋体" w:hAnsi="宋体"/>
                <w:szCs w:val="21"/>
                <w:lang w:val="en-US" w:eastAsia="zh-CN"/>
              </w:rPr>
              <w:t>规定</w:t>
            </w:r>
            <w:r>
              <w:rPr>
                <w:rFonts w:hint="eastAsia" w:ascii="宋体" w:hAnsi="宋体"/>
                <w:szCs w:val="21"/>
              </w:rPr>
              <w:t>》、《</w:t>
            </w:r>
            <w:r>
              <w:rPr>
                <w:rFonts w:hint="eastAsia" w:ascii="宋体" w:hAnsi="宋体"/>
                <w:szCs w:val="21"/>
                <w:lang w:val="en-US" w:eastAsia="zh-CN"/>
              </w:rPr>
              <w:t>消防设施管理规定</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空调设备管理规定</w:t>
            </w:r>
            <w:r>
              <w:rPr>
                <w:rFonts w:hint="eastAsia" w:ascii="宋体" w:hAnsi="宋体"/>
                <w:szCs w:val="21"/>
                <w:lang w:eastAsia="zh-CN"/>
              </w:rPr>
              <w:t>》</w:t>
            </w:r>
            <w:r>
              <w:rPr>
                <w:rFonts w:hint="eastAsia" w:ascii="宋体" w:hAnsi="宋体"/>
                <w:szCs w:val="21"/>
              </w:rPr>
              <w:t>等环境管理程序</w:t>
            </w:r>
            <w:r>
              <w:rPr>
                <w:rFonts w:hint="eastAsia" w:ascii="宋体" w:hAnsi="宋体"/>
                <w:szCs w:val="21"/>
                <w:lang w:eastAsia="zh-CN"/>
              </w:rPr>
              <w:t>、</w:t>
            </w:r>
            <w:r>
              <w:rPr>
                <w:rFonts w:hint="eastAsia" w:ascii="宋体" w:hAnsi="宋体"/>
                <w:szCs w:val="21"/>
                <w:lang w:val="en-US" w:eastAsia="zh-CN"/>
              </w:rPr>
              <w:t>制度</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查到20</w:t>
            </w:r>
            <w:r>
              <w:rPr>
                <w:rFonts w:hint="eastAsia" w:ascii="宋体" w:hAnsi="宋体"/>
                <w:szCs w:val="21"/>
                <w:lang w:val="en-US" w:eastAsia="zh-CN"/>
              </w:rPr>
              <w:t>15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月公司</w:t>
            </w:r>
            <w:r>
              <w:rPr>
                <w:rFonts w:hint="eastAsia" w:ascii="宋体" w:hAnsi="宋体"/>
                <w:szCs w:val="21"/>
                <w:lang w:val="en-US" w:eastAsia="zh-CN"/>
              </w:rPr>
              <w:t>浙江威罗德科技有限公司生产1200套自动化精密汽车模具产业化</w:t>
            </w:r>
            <w:r>
              <w:rPr>
                <w:rFonts w:hint="eastAsia" w:ascii="宋体" w:hAnsi="宋体"/>
                <w:szCs w:val="21"/>
              </w:rPr>
              <w:t>项目环境影响报告表，查到20</w:t>
            </w:r>
            <w:r>
              <w:rPr>
                <w:rFonts w:hint="eastAsia" w:ascii="宋体" w:hAnsi="宋体"/>
                <w:szCs w:val="21"/>
                <w:lang w:val="en-US" w:eastAsia="zh-CN"/>
              </w:rPr>
              <w:t>15</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三门县</w:t>
            </w:r>
            <w:r>
              <w:rPr>
                <w:rFonts w:hint="eastAsia" w:ascii="宋体" w:hAnsi="宋体"/>
                <w:szCs w:val="21"/>
              </w:rPr>
              <w:t>环境保护局《关于对</w:t>
            </w:r>
            <w:r>
              <w:rPr>
                <w:rFonts w:hint="eastAsia" w:ascii="宋体" w:hAnsi="宋体"/>
                <w:szCs w:val="21"/>
                <w:lang w:val="en-US" w:eastAsia="zh-CN"/>
              </w:rPr>
              <w:t>浙江威罗德科技有限公司生产1200套自动化精密汽车模具产业化</w:t>
            </w:r>
            <w:r>
              <w:rPr>
                <w:rFonts w:hint="eastAsia" w:ascii="宋体" w:hAnsi="宋体"/>
                <w:szCs w:val="21"/>
              </w:rPr>
              <w:t>项环境影响报告表的批复》，和2</w:t>
            </w:r>
            <w:r>
              <w:rPr>
                <w:rFonts w:hint="eastAsia" w:ascii="宋体" w:hAnsi="宋体"/>
                <w:szCs w:val="21"/>
                <w:lang w:val="en-US" w:eastAsia="zh-CN"/>
              </w:rPr>
              <w:t>018</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3</w:t>
            </w:r>
            <w:r>
              <w:rPr>
                <w:rFonts w:hint="eastAsia" w:ascii="宋体" w:hAnsi="宋体"/>
                <w:szCs w:val="21"/>
              </w:rPr>
              <w:t>兴平市环境保护局《关于对</w:t>
            </w:r>
            <w:r>
              <w:rPr>
                <w:rFonts w:hint="eastAsia" w:ascii="宋体" w:hAnsi="宋体"/>
                <w:szCs w:val="21"/>
                <w:lang w:val="en-US" w:eastAsia="zh-CN"/>
              </w:rPr>
              <w:t>浙江威罗德科技有限公司生产1200套自动化精密汽车模具产业化项目竣工环境保护验收</w:t>
            </w:r>
            <w:r>
              <w:rPr>
                <w:rFonts w:hint="eastAsia" w:ascii="宋体" w:hAnsi="宋体"/>
                <w:szCs w:val="21"/>
              </w:rPr>
              <w:t>》，公司已经通过了环评验收。具体见附件。</w:t>
            </w:r>
          </w:p>
          <w:p>
            <w:pPr>
              <w:spacing w:line="360" w:lineRule="auto"/>
              <w:ind w:firstLine="420" w:firstLineChars="200"/>
              <w:rPr>
                <w:rFonts w:ascii="宋体" w:hAnsi="宋体"/>
                <w:szCs w:val="21"/>
              </w:rPr>
            </w:pPr>
            <w:r>
              <w:rPr>
                <w:rFonts w:hint="eastAsia" w:ascii="宋体" w:hAnsi="宋体"/>
                <w:szCs w:val="21"/>
              </w:rPr>
              <w:t>公司位于</w:t>
            </w:r>
            <w:bookmarkStart w:id="1" w:name="注册地址"/>
            <w:r>
              <w:rPr>
                <w:rFonts w:hint="eastAsia" w:ascii="宋体" w:hAnsi="宋体"/>
                <w:szCs w:val="21"/>
                <w:lang w:val="en-US" w:eastAsia="zh-CN"/>
              </w:rPr>
              <w:t>浙江省台州市</w:t>
            </w:r>
            <w:r>
              <w:rPr>
                <w:rFonts w:asciiTheme="minorEastAsia" w:hAnsiTheme="minorEastAsia" w:eastAsiaTheme="minorEastAsia"/>
                <w:sz w:val="20"/>
              </w:rPr>
              <w:t>三门县海润街道永兴路26号</w:t>
            </w:r>
            <w:bookmarkEnd w:id="1"/>
            <w:r>
              <w:rPr>
                <w:rFonts w:hint="eastAsia" w:ascii="宋体" w:hAnsi="宋体"/>
                <w:szCs w:val="21"/>
              </w:rPr>
              <w:t>，周边是其他单位。根据需要建设有办公楼、车间、仓库，厂区有停车位和消防栓。</w:t>
            </w:r>
          </w:p>
          <w:p>
            <w:pPr>
              <w:spacing w:line="360" w:lineRule="auto"/>
              <w:ind w:firstLine="420" w:firstLineChars="200"/>
              <w:rPr>
                <w:rFonts w:ascii="宋体" w:hAnsi="宋体"/>
                <w:szCs w:val="21"/>
              </w:rPr>
            </w:pPr>
            <w:r>
              <w:rPr>
                <w:rFonts w:hint="eastAsia" w:ascii="宋体" w:hAnsi="宋体"/>
                <w:szCs w:val="21"/>
              </w:rPr>
              <w:t>按公司要求人走关灯，办公室内电脑要求人走后电源切断。办公室内垃圾主要包含可回收垃圾、硒鼓、废纸。公司配置了垃圾箱，</w:t>
            </w:r>
            <w:r>
              <w:rPr>
                <w:rFonts w:hint="eastAsia" w:ascii="宋体" w:hAnsi="宋体"/>
                <w:szCs w:val="21"/>
                <w:lang w:eastAsia="zh-CN"/>
              </w:rPr>
              <w:t>管理科</w:t>
            </w:r>
            <w:r>
              <w:rPr>
                <w:rFonts w:hint="eastAsia" w:ascii="宋体" w:hAnsi="宋体"/>
                <w:szCs w:val="21"/>
              </w:rPr>
              <w:t>统一处理。</w:t>
            </w:r>
          </w:p>
          <w:p>
            <w:pPr>
              <w:spacing w:line="360" w:lineRule="auto"/>
              <w:ind w:firstLine="420" w:firstLineChars="200"/>
              <w:rPr>
                <w:rFonts w:hint="eastAsia" w:ascii="宋体" w:hAnsi="宋体"/>
                <w:szCs w:val="21"/>
              </w:rPr>
            </w:pPr>
            <w:r>
              <w:rPr>
                <w:rFonts w:hint="eastAsia" w:ascii="宋体" w:hAnsi="宋体"/>
                <w:szCs w:val="21"/>
              </w:rPr>
              <w:t>对可回收的固体废弃物，</w:t>
            </w:r>
            <w:r>
              <w:rPr>
                <w:rFonts w:hint="eastAsia" w:ascii="宋体" w:hAnsi="宋体"/>
                <w:szCs w:val="21"/>
                <w:lang w:val="en-US" w:eastAsia="zh-CN"/>
              </w:rPr>
              <w:t>废油桶</w:t>
            </w:r>
            <w:r>
              <w:rPr>
                <w:rFonts w:hint="eastAsia" w:ascii="宋体" w:hAnsi="宋体"/>
                <w:szCs w:val="21"/>
              </w:rPr>
              <w:t>由厂家</w:t>
            </w:r>
            <w:r>
              <w:rPr>
                <w:rFonts w:hint="eastAsia" w:ascii="宋体" w:hAnsi="宋体"/>
                <w:szCs w:val="21"/>
                <w:lang w:eastAsia="zh-CN"/>
              </w:rPr>
              <w:t>（</w:t>
            </w:r>
            <w:r>
              <w:rPr>
                <w:rFonts w:hint="eastAsia" w:ascii="宋体" w:hAnsi="宋体"/>
                <w:szCs w:val="21"/>
                <w:lang w:val="en-US" w:eastAsia="zh-CN"/>
              </w:rPr>
              <w:t>台州市汉古润滑油有限公司</w:t>
            </w:r>
            <w:r>
              <w:rPr>
                <w:rFonts w:hint="eastAsia" w:ascii="宋体" w:hAnsi="宋体"/>
                <w:szCs w:val="21"/>
                <w:lang w:eastAsia="zh-CN"/>
              </w:rPr>
              <w:t>）</w:t>
            </w:r>
            <w:r>
              <w:rPr>
                <w:rFonts w:hint="eastAsia" w:ascii="宋体" w:hAnsi="宋体"/>
                <w:szCs w:val="21"/>
              </w:rPr>
              <w:t>回收，厂家不回收的公司统一回收再利用或由物资回收公司处理。不可回收的废弃物由公司</w:t>
            </w:r>
            <w:r>
              <w:rPr>
                <w:rFonts w:hint="eastAsia" w:ascii="宋体" w:hAnsi="宋体"/>
                <w:szCs w:val="21"/>
                <w:lang w:eastAsia="zh-CN"/>
              </w:rPr>
              <w:t>管理科</w:t>
            </w:r>
            <w:r>
              <w:rPr>
                <w:rFonts w:hint="eastAsia" w:ascii="宋体" w:hAnsi="宋体"/>
                <w:szCs w:val="21"/>
              </w:rPr>
              <w:t>统一处理，各部门不得单独处理。</w:t>
            </w:r>
          </w:p>
          <w:p>
            <w:pPr>
              <w:pStyle w:val="2"/>
              <w:rPr>
                <w:rFonts w:hint="eastAsia" w:eastAsia="宋体"/>
                <w:lang w:eastAsia="zh-CN"/>
              </w:rPr>
            </w:pPr>
            <w:r>
              <w:rPr>
                <w:rFonts w:hint="eastAsia" w:eastAsia="宋体"/>
                <w:lang w:eastAsia="zh-CN"/>
              </w:rPr>
              <w:drawing>
                <wp:inline distT="0" distB="0" distL="114300" distR="114300">
                  <wp:extent cx="2156460" cy="2049780"/>
                  <wp:effectExtent l="0" t="0" r="2540" b="7620"/>
                  <wp:docPr id="6" name="图片 6" descr="微信图片_2021091615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916152136"/>
                          <pic:cNvPicPr>
                            <a:picLocks noChangeAspect="1"/>
                          </pic:cNvPicPr>
                        </pic:nvPicPr>
                        <pic:blipFill>
                          <a:blip r:embed="rId9"/>
                          <a:stretch>
                            <a:fillRect/>
                          </a:stretch>
                        </pic:blipFill>
                        <pic:spPr>
                          <a:xfrm>
                            <a:off x="0" y="0"/>
                            <a:ext cx="2156460" cy="2049780"/>
                          </a:xfrm>
                          <a:prstGeom prst="rect">
                            <a:avLst/>
                          </a:prstGeom>
                        </pic:spPr>
                      </pic:pic>
                    </a:graphicData>
                  </a:graphic>
                </wp:inline>
              </w:drawing>
            </w:r>
          </w:p>
          <w:p>
            <w:pPr>
              <w:spacing w:line="360" w:lineRule="auto"/>
              <w:rPr>
                <w:rFonts w:ascii="宋体" w:hAnsi="宋体"/>
                <w:szCs w:val="21"/>
              </w:rPr>
            </w:pPr>
            <w:r>
              <w:rPr>
                <w:rFonts w:hint="eastAsia" w:ascii="宋体" w:hAnsi="宋体"/>
                <w:szCs w:val="21"/>
              </w:rPr>
              <w:t>提供20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11</w:t>
            </w:r>
            <w:r>
              <w:rPr>
                <w:rFonts w:hint="eastAsia" w:ascii="宋体" w:hAnsi="宋体"/>
                <w:szCs w:val="21"/>
              </w:rPr>
              <w:t>日由</w:t>
            </w:r>
            <w:r>
              <w:rPr>
                <w:rFonts w:hint="eastAsia" w:ascii="宋体" w:hAnsi="宋体"/>
                <w:szCs w:val="21"/>
                <w:lang w:val="en-US" w:eastAsia="zh-CN"/>
              </w:rPr>
              <w:t>深圳鸿瑞检测技术</w:t>
            </w:r>
            <w:r>
              <w:rPr>
                <w:rFonts w:hint="eastAsia" w:ascii="宋体" w:hAnsi="宋体"/>
                <w:szCs w:val="21"/>
              </w:rPr>
              <w:t>有限公司，编号：</w:t>
            </w:r>
            <w:r>
              <w:rPr>
                <w:rFonts w:hint="eastAsia" w:ascii="宋体" w:hAnsi="宋体"/>
                <w:szCs w:val="21"/>
                <w:lang w:val="en-US" w:eastAsia="zh-CN"/>
              </w:rPr>
              <w:t>20210811E441-01号</w:t>
            </w:r>
            <w:r>
              <w:rPr>
                <w:rFonts w:hint="eastAsia" w:ascii="宋体" w:hAnsi="宋体"/>
                <w:szCs w:val="21"/>
              </w:rPr>
              <w:t>《</w:t>
            </w:r>
            <w:r>
              <w:rPr>
                <w:rFonts w:hint="eastAsia" w:ascii="宋体" w:hAnsi="宋体"/>
                <w:szCs w:val="21"/>
                <w:lang w:val="en-US" w:eastAsia="zh-CN"/>
              </w:rPr>
              <w:t>检测</w:t>
            </w:r>
            <w:r>
              <w:rPr>
                <w:rFonts w:hint="eastAsia" w:ascii="宋体" w:hAnsi="宋体"/>
                <w:szCs w:val="21"/>
              </w:rPr>
              <w:t>报告》，</w:t>
            </w:r>
          </w:p>
          <w:p>
            <w:pPr>
              <w:spacing w:line="360" w:lineRule="auto"/>
              <w:rPr>
                <w:rFonts w:ascii="楷体" w:hAnsi="楷体" w:eastAsia="楷体" w:cs="Arial"/>
                <w:sz w:val="24"/>
                <w:szCs w:val="24"/>
              </w:rPr>
            </w:pPr>
            <w:r>
              <w:rPr>
                <w:rFonts w:hint="eastAsia" w:ascii="楷体" w:hAnsi="楷体" w:eastAsia="楷体" w:cs="Arial"/>
                <w:sz w:val="24"/>
                <w:szCs w:val="24"/>
                <w:lang w:val="en-US" w:eastAsia="zh-CN"/>
              </w:rPr>
              <w:t xml:space="preserve">                               </w:t>
            </w:r>
            <w:r>
              <w:rPr>
                <w:rFonts w:hint="eastAsia" w:ascii="楷体" w:hAnsi="楷体" w:eastAsia="楷体" w:cs="Arial"/>
                <w:sz w:val="24"/>
                <w:szCs w:val="24"/>
                <w:lang w:eastAsia="zh-CN"/>
              </w:rPr>
              <w:drawing>
                <wp:inline distT="0" distB="0" distL="114300" distR="114300">
                  <wp:extent cx="2150745" cy="2052320"/>
                  <wp:effectExtent l="0" t="0" r="8255" b="5080"/>
                  <wp:docPr id="17" name="图片 17" descr="微信图片_2021091516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10915164704"/>
                          <pic:cNvPicPr>
                            <a:picLocks noChangeAspect="1"/>
                          </pic:cNvPicPr>
                        </pic:nvPicPr>
                        <pic:blipFill>
                          <a:blip r:embed="rId10"/>
                          <a:stretch>
                            <a:fillRect/>
                          </a:stretch>
                        </pic:blipFill>
                        <pic:spPr>
                          <a:xfrm>
                            <a:off x="0" y="0"/>
                            <a:ext cx="2150745" cy="2052320"/>
                          </a:xfrm>
                          <a:prstGeom prst="rect">
                            <a:avLst/>
                          </a:prstGeom>
                        </pic:spPr>
                      </pic:pic>
                    </a:graphicData>
                  </a:graphic>
                </wp:inline>
              </w:drawing>
            </w:r>
          </w:p>
          <w:p>
            <w:pPr>
              <w:spacing w:line="360" w:lineRule="auto"/>
              <w:ind w:firstLine="420" w:firstLineChars="200"/>
              <w:rPr>
                <w:rFonts w:ascii="宋体" w:hAnsi="宋体"/>
                <w:szCs w:val="21"/>
              </w:rPr>
            </w:pPr>
            <w:r>
              <w:rPr>
                <w:rFonts w:hint="eastAsia" w:ascii="宋体" w:hAnsi="宋体"/>
                <w:szCs w:val="21"/>
              </w:rPr>
              <w:t>生活污水经化粪池简单处理后排入市政污水管网。</w:t>
            </w:r>
          </w:p>
          <w:p>
            <w:pPr>
              <w:spacing w:line="360" w:lineRule="auto"/>
              <w:ind w:firstLine="420" w:firstLineChars="200"/>
              <w:rPr>
                <w:rFonts w:hint="eastAsia" w:ascii="宋体" w:hAnsi="宋体"/>
                <w:szCs w:val="21"/>
              </w:rPr>
            </w:pPr>
            <w:r>
              <w:rPr>
                <w:rFonts w:hint="eastAsia" w:ascii="宋体" w:hAnsi="宋体"/>
                <w:szCs w:val="21"/>
                <w:lang w:eastAsia="zh-CN"/>
              </w:rPr>
              <w:t>管理科</w:t>
            </w:r>
            <w:r>
              <w:rPr>
                <w:rFonts w:hint="eastAsia" w:ascii="宋体" w:hAnsi="宋体"/>
                <w:szCs w:val="21"/>
              </w:rPr>
              <w:t>内主要是电的使用，电器有漏电保护器，经常对电路、电源进行检查，没有露电现象发生。现场巡视办公区域消防栓、灭火器正常，电线、电气插座完整，未见破损，空调设定在26℃。</w:t>
            </w:r>
          </w:p>
          <w:p>
            <w:pPr>
              <w:pStyle w:val="2"/>
              <w:jc w:val="left"/>
              <w:rPr>
                <w:rFonts w:hint="eastAsia" w:eastAsia="宋体"/>
                <w:lang w:val="en-US" w:eastAsia="zh-CN"/>
              </w:rPr>
            </w:pPr>
            <w:r>
              <w:rPr>
                <w:rFonts w:hint="eastAsia" w:eastAsia="宋体"/>
                <w:lang w:val="en-US" w:eastAsia="zh-CN"/>
              </w:rPr>
              <w:t>抽查运行控制记录：</w:t>
            </w:r>
          </w:p>
          <w:p>
            <w:pPr>
              <w:spacing w:line="360" w:lineRule="auto"/>
              <w:rPr>
                <w:rFonts w:hint="default" w:ascii="宋体" w:hAnsi="宋体"/>
                <w:szCs w:val="21"/>
                <w:lang w:val="en-US" w:eastAsia="zh-CN"/>
              </w:rPr>
            </w:pPr>
            <w:r>
              <w:rPr>
                <w:rFonts w:hint="eastAsia" w:ascii="宋体" w:hAnsi="宋体"/>
                <w:szCs w:val="21"/>
                <w:lang w:eastAsia="zh-CN"/>
              </w:rPr>
              <w:drawing>
                <wp:inline distT="0" distB="0" distL="114300" distR="114300">
                  <wp:extent cx="2703830" cy="2813685"/>
                  <wp:effectExtent l="0" t="0" r="1270" b="5715"/>
                  <wp:docPr id="7" name="图片 7" descr="C:/Users/hb/AppData/Local/Temp/picturecompress_2021091615322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b/AppData/Local/Temp/picturecompress_20210916153229/output_1.jpgoutput_1"/>
                          <pic:cNvPicPr>
                            <a:picLocks noChangeAspect="1"/>
                          </pic:cNvPicPr>
                        </pic:nvPicPr>
                        <pic:blipFill>
                          <a:blip r:embed="rId11"/>
                          <a:stretch>
                            <a:fillRect/>
                          </a:stretch>
                        </pic:blipFill>
                        <pic:spPr>
                          <a:xfrm>
                            <a:off x="0" y="0"/>
                            <a:ext cx="2703830" cy="2813685"/>
                          </a:xfrm>
                          <a:prstGeom prst="rect">
                            <a:avLst/>
                          </a:prstGeom>
                        </pic:spPr>
                      </pic:pic>
                    </a:graphicData>
                  </a:graphic>
                </wp:inline>
              </w:drawing>
            </w:r>
            <w:r>
              <w:rPr>
                <w:rFonts w:hint="eastAsia" w:ascii="宋体" w:hAnsi="宋体"/>
                <w:szCs w:val="21"/>
                <w:lang w:val="en-US" w:eastAsia="zh-CN"/>
              </w:rPr>
              <w:t xml:space="preserve">   </w:t>
            </w:r>
            <w:r>
              <w:rPr>
                <w:rFonts w:hint="default" w:ascii="宋体" w:hAnsi="宋体"/>
                <w:szCs w:val="21"/>
                <w:lang w:val="en-US" w:eastAsia="zh-CN"/>
              </w:rPr>
              <w:drawing>
                <wp:inline distT="0" distB="0" distL="114300" distR="114300">
                  <wp:extent cx="2781300" cy="2804795"/>
                  <wp:effectExtent l="0" t="0" r="0" b="1905"/>
                  <wp:docPr id="8" name="图片 8" descr="C:/Users/hb/AppData/Local/Temp/picturecompress_2021091615423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hb/AppData/Local/Temp/picturecompress_20210916154232/output_1.jpgoutput_1"/>
                          <pic:cNvPicPr>
                            <a:picLocks noChangeAspect="1"/>
                          </pic:cNvPicPr>
                        </pic:nvPicPr>
                        <pic:blipFill>
                          <a:blip r:embed="rId12"/>
                          <a:stretch>
                            <a:fillRect/>
                          </a:stretch>
                        </pic:blipFill>
                        <pic:spPr>
                          <a:xfrm>
                            <a:off x="0" y="0"/>
                            <a:ext cx="2781300" cy="2804795"/>
                          </a:xfrm>
                          <a:prstGeom prst="rect">
                            <a:avLst/>
                          </a:prstGeom>
                        </pic:spPr>
                      </pic:pic>
                    </a:graphicData>
                  </a:graphic>
                </wp:inline>
              </w:drawing>
            </w:r>
          </w:p>
          <w:p>
            <w:pPr>
              <w:pStyle w:val="2"/>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505710" cy="2870200"/>
                  <wp:effectExtent l="0" t="0" r="8890" b="0"/>
                  <wp:docPr id="9" name="图片 9" descr="C:/Users/hb/AppData/Local/Temp/picturecompress_2021091615425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hb/AppData/Local/Temp/picturecompress_20210916154256/output_1.jpgoutput_1"/>
                          <pic:cNvPicPr>
                            <a:picLocks noChangeAspect="1"/>
                          </pic:cNvPicPr>
                        </pic:nvPicPr>
                        <pic:blipFill>
                          <a:blip r:embed="rId13"/>
                          <a:stretch>
                            <a:fillRect/>
                          </a:stretch>
                        </pic:blipFill>
                        <pic:spPr>
                          <a:xfrm>
                            <a:off x="0" y="0"/>
                            <a:ext cx="2505710" cy="287020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3116580" cy="2833370"/>
                  <wp:effectExtent l="0" t="0" r="7620" b="11430"/>
                  <wp:docPr id="10" name="图片 10" descr="C:/Users/hb/AppData/Local/Temp/picturecompress_202109161543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hb/AppData/Local/Temp/picturecompress_20210916154312/output_1.jpgoutput_1"/>
                          <pic:cNvPicPr>
                            <a:picLocks noChangeAspect="1"/>
                          </pic:cNvPicPr>
                        </pic:nvPicPr>
                        <pic:blipFill>
                          <a:blip r:embed="rId14"/>
                          <a:stretch>
                            <a:fillRect/>
                          </a:stretch>
                        </pic:blipFill>
                        <pic:spPr>
                          <a:xfrm>
                            <a:off x="0" y="0"/>
                            <a:ext cx="3116580" cy="2833370"/>
                          </a:xfrm>
                          <a:prstGeom prst="rect">
                            <a:avLst/>
                          </a:prstGeom>
                        </pic:spPr>
                      </pic:pic>
                    </a:graphicData>
                  </a:graphic>
                </wp:inline>
              </w:drawing>
            </w:r>
          </w:p>
          <w:p>
            <w:pPr>
              <w:pStyle w:val="3"/>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2490470" cy="2362835"/>
                  <wp:effectExtent l="0" t="0" r="11430" b="12065"/>
                  <wp:docPr id="11" name="图片 11" descr="C:/Users/hb/AppData/Local/Temp/picturecompress_2021091615435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hb/AppData/Local/Temp/picturecompress_20210916154350/output_1.jpgoutput_1"/>
                          <pic:cNvPicPr>
                            <a:picLocks noChangeAspect="1"/>
                          </pic:cNvPicPr>
                        </pic:nvPicPr>
                        <pic:blipFill>
                          <a:blip r:embed="rId15"/>
                          <a:stretch>
                            <a:fillRect/>
                          </a:stretch>
                        </pic:blipFill>
                        <pic:spPr>
                          <a:xfrm>
                            <a:off x="0" y="0"/>
                            <a:ext cx="2490470" cy="236283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3323590" cy="2334260"/>
                  <wp:effectExtent l="0" t="0" r="3810" b="2540"/>
                  <wp:docPr id="12" name="图片 12" descr="C:/Users/hb/AppData/Local/Temp/picturecompress_2021091615441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hb/AppData/Local/Temp/picturecompress_20210916154410/output_1.jpgoutput_1"/>
                          <pic:cNvPicPr>
                            <a:picLocks noChangeAspect="1"/>
                          </pic:cNvPicPr>
                        </pic:nvPicPr>
                        <pic:blipFill>
                          <a:blip r:embed="rId16"/>
                          <a:stretch>
                            <a:fillRect/>
                          </a:stretch>
                        </pic:blipFill>
                        <pic:spPr>
                          <a:xfrm>
                            <a:off x="0" y="0"/>
                            <a:ext cx="3323590" cy="2334260"/>
                          </a:xfrm>
                          <a:prstGeom prst="rect">
                            <a:avLst/>
                          </a:prstGeom>
                        </pic:spPr>
                      </pic:pic>
                    </a:graphicData>
                  </a:graphic>
                </wp:inline>
              </w:drawing>
            </w:r>
          </w:p>
          <w:p>
            <w:pPr>
              <w:spacing w:line="360" w:lineRule="auto"/>
              <w:rPr>
                <w:rFonts w:ascii="宋体" w:hAnsi="宋体"/>
                <w:szCs w:val="21"/>
              </w:rPr>
            </w:pPr>
            <w:r>
              <w:rPr>
                <w:rFonts w:hint="eastAsia" w:ascii="宋体" w:hAnsi="宋体"/>
                <w:szCs w:val="21"/>
                <w:lang w:eastAsia="zh-CN"/>
              </w:rPr>
              <w:t>管理科</w:t>
            </w:r>
            <w:r>
              <w:rPr>
                <w:rFonts w:hint="eastAsia" w:ascii="宋体" w:hAnsi="宋体"/>
                <w:szCs w:val="21"/>
              </w:rPr>
              <w:t>部门运行控制基本符合规定要求。</w:t>
            </w:r>
          </w:p>
          <w:p>
            <w:pPr>
              <w:spacing w:line="360" w:lineRule="auto"/>
              <w:rPr>
                <w:rFonts w:ascii="宋体" w:hAnsi="宋体"/>
                <w:szCs w:val="21"/>
              </w:rPr>
            </w:pPr>
            <w:r>
              <w:rPr>
                <w:rFonts w:hint="eastAsia" w:ascii="宋体" w:hAnsi="宋体"/>
                <w:szCs w:val="21"/>
              </w:rPr>
              <w:t>部门运行控制能结合产品生命周期方法，基本符合规定要求。</w:t>
            </w:r>
          </w:p>
        </w:tc>
        <w:tc>
          <w:tcPr>
            <w:tcW w:w="1155" w:type="dxa"/>
          </w:tc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rPr>
                <w:rFonts w:hint="eastAsia"/>
                <w:color w:val="auto"/>
                <w:lang w:val="en-US" w:eastAsia="zh-CN"/>
              </w:rPr>
            </w:pPr>
          </w:p>
          <w:p>
            <w:pPr>
              <w:pStyle w:val="3"/>
              <w:ind w:left="0" w:leftChars="0" w:firstLine="0" w:firstLineChars="0"/>
              <w:rPr>
                <w:rFonts w:hint="eastAsia"/>
                <w:color w:val="auto"/>
                <w:lang w:val="en-US" w:eastAsia="zh-CN"/>
              </w:rPr>
            </w:pPr>
          </w:p>
          <w:p>
            <w:pPr>
              <w:pStyle w:val="3"/>
              <w:ind w:left="0" w:leftChars="0" w:firstLine="0" w:firstLineChars="0"/>
              <w:rPr>
                <w:rFonts w:hint="eastAsia" w:eastAsia="宋体"/>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08"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ascii="楷体" w:hAnsi="楷体" w:eastAsia="楷体"/>
                <w:sz w:val="24"/>
                <w:szCs w:val="24"/>
              </w:rPr>
            </w:pPr>
          </w:p>
        </w:tc>
        <w:tc>
          <w:tcPr>
            <w:tcW w:w="968" w:type="dxa"/>
          </w:tcPr>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szCs w:val="22"/>
              </w:rPr>
            </w:pPr>
          </w:p>
        </w:tc>
        <w:tc>
          <w:tcPr>
            <w:tcW w:w="10978" w:type="dxa"/>
          </w:tcPr>
          <w:p>
            <w:r>
              <w:t>1</w:t>
            </w:r>
            <w:r>
              <w:rPr>
                <w:rFonts w:hint="eastAsia" w:cs="宋体"/>
              </w:rPr>
              <w:t>、查策划有《</w:t>
            </w:r>
            <w:r>
              <w:rPr>
                <w:rFonts w:hint="eastAsia" w:cs="宋体"/>
                <w:lang w:eastAsia="zh-CN"/>
              </w:rPr>
              <w:t>应急准备和响应控制程序</w:t>
            </w:r>
            <w:r>
              <w:rPr>
                <w:rFonts w:hint="eastAsia" w:cs="宋体"/>
              </w:rPr>
              <w:t>》，编制有《火灾事故应急预案》。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20</w:t>
            </w:r>
            <w:r>
              <w:rPr>
                <w:rFonts w:hint="eastAsia"/>
                <w:lang w:val="en-US" w:eastAsia="zh-CN"/>
              </w:rPr>
              <w:t>21</w:t>
            </w:r>
            <w:r>
              <w:rPr>
                <w:rFonts w:hint="eastAsia" w:cs="宋体"/>
              </w:rPr>
              <w:t>年</w:t>
            </w:r>
            <w:r>
              <w:rPr>
                <w:rFonts w:hint="eastAsia" w:cs="宋体"/>
                <w:lang w:val="en-US" w:eastAsia="zh-CN"/>
              </w:rPr>
              <w:t>6</w:t>
            </w:r>
            <w:r>
              <w:rPr>
                <w:rFonts w:hint="eastAsia" w:cs="宋体"/>
              </w:rPr>
              <w:t>月</w:t>
            </w:r>
            <w:r>
              <w:rPr>
                <w:rFonts w:hint="eastAsia" w:cs="宋体"/>
                <w:lang w:val="en-US" w:eastAsia="zh-CN"/>
              </w:rPr>
              <w:t>15</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pPr>
              <w:rPr>
                <w:rFonts w:hint="eastAsia" w:eastAsia="宋体"/>
                <w:lang w:eastAsia="zh-CN"/>
              </w:rPr>
            </w:pPr>
            <w:r>
              <w:t>——</w:t>
            </w:r>
            <w:r>
              <w:rPr>
                <w:rFonts w:hint="eastAsia" w:cs="宋体"/>
              </w:rPr>
              <w:t>演练效果评价记录：通过演练，证明预案基本适宜，全体人员对预案的要求有了比较适宜的操作方法，可以有效履行预案的要求。</w:t>
            </w:r>
            <w:r>
              <w:rPr>
                <w:rFonts w:hint="eastAsia" w:eastAsia="宋体"/>
                <w:lang w:eastAsia="zh-CN"/>
              </w:rPr>
              <w:drawing>
                <wp:inline distT="0" distB="0" distL="114300" distR="114300">
                  <wp:extent cx="6815455" cy="2359660"/>
                  <wp:effectExtent l="0" t="0" r="4445" b="2540"/>
                  <wp:docPr id="5" name="图片 5" descr="C:/Users/hb/AppData/Local/Temp/picturecompress_2021091614290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b/AppData/Local/Temp/picturecompress_20210916142900/output_1.jpgoutput_1"/>
                          <pic:cNvPicPr>
                            <a:picLocks noChangeAspect="1"/>
                          </pic:cNvPicPr>
                        </pic:nvPicPr>
                        <pic:blipFill>
                          <a:blip r:embed="rId17"/>
                          <a:stretch>
                            <a:fillRect/>
                          </a:stretch>
                        </pic:blipFill>
                        <pic:spPr>
                          <a:xfrm>
                            <a:off x="0" y="0"/>
                            <a:ext cx="6815455" cy="2359660"/>
                          </a:xfrm>
                          <a:prstGeom prst="rect">
                            <a:avLst/>
                          </a:prstGeom>
                        </pic:spPr>
                      </pic:pic>
                    </a:graphicData>
                  </a:graphic>
                </wp:inline>
              </w:drawing>
            </w:r>
          </w:p>
          <w:p>
            <w:pPr>
              <w:spacing w:line="360" w:lineRule="auto"/>
              <w:ind w:firstLine="420" w:firstLineChars="200"/>
              <w:rPr>
                <w:rFonts w:ascii="楷体" w:hAnsi="楷体" w:eastAsia="楷体" w:cs="楷体"/>
                <w:sz w:val="24"/>
                <w:szCs w:val="24"/>
              </w:rPr>
            </w:pPr>
            <w:r>
              <w:t>——</w:t>
            </w:r>
            <w:r>
              <w:rPr>
                <w:rFonts w:hint="eastAsia" w:ascii="宋体" w:hAnsi="宋体"/>
                <w:szCs w:val="21"/>
              </w:rPr>
              <w:t>确定了应急指挥机构、分析了环境风险、应急处置、应急保障措施，以应对环境的突发环境事件。</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tcPr>
          <w:p>
            <w:pPr>
              <w:rPr>
                <w:szCs w:val="22"/>
              </w:rPr>
            </w:pPr>
          </w:p>
          <w:p>
            <w:pPr>
              <w:rPr>
                <w:szCs w:val="22"/>
              </w:rPr>
            </w:pPr>
          </w:p>
          <w:p>
            <w:pPr>
              <w:rPr>
                <w:szCs w:val="22"/>
              </w:rPr>
            </w:pPr>
          </w:p>
          <w:p>
            <w:pPr>
              <w:rPr>
                <w:szCs w:val="22"/>
              </w:rPr>
            </w:pPr>
          </w:p>
          <w:p>
            <w:pPr>
              <w:rPr>
                <w:szCs w:val="22"/>
              </w:rPr>
            </w:pPr>
          </w:p>
          <w:p>
            <w:pPr>
              <w:rPr>
                <w:szCs w:val="22"/>
              </w:rPr>
            </w:pPr>
          </w:p>
          <w:p>
            <w:pPr>
              <w:rPr>
                <w:szCs w:val="22"/>
              </w:rPr>
            </w:pPr>
            <w:r>
              <w:rPr>
                <w:rFonts w:hint="eastAsia"/>
                <w:szCs w:val="22"/>
              </w:rPr>
              <w:t>内部审核</w:t>
            </w:r>
          </w:p>
        </w:tc>
        <w:tc>
          <w:tcPr>
            <w:tcW w:w="968" w:type="dxa"/>
          </w:tcPr>
          <w:p>
            <w:pPr>
              <w:rPr>
                <w:szCs w:val="22"/>
              </w:rPr>
            </w:pPr>
          </w:p>
          <w:p>
            <w:pPr>
              <w:rPr>
                <w:szCs w:val="22"/>
              </w:rPr>
            </w:pPr>
          </w:p>
          <w:p>
            <w:pPr>
              <w:rPr>
                <w:szCs w:val="22"/>
              </w:rPr>
            </w:pPr>
          </w:p>
          <w:p>
            <w:pPr>
              <w:rPr>
                <w:szCs w:val="22"/>
              </w:rPr>
            </w:pPr>
          </w:p>
          <w:p>
            <w:pPr>
              <w:rPr>
                <w:szCs w:val="22"/>
              </w:rPr>
            </w:pPr>
          </w:p>
          <w:p>
            <w:pPr>
              <w:rPr>
                <w:szCs w:val="22"/>
              </w:rPr>
            </w:pPr>
          </w:p>
          <w:p>
            <w:r>
              <w:rPr>
                <w:rFonts w:hint="eastAsia"/>
                <w:szCs w:val="22"/>
              </w:rPr>
              <w:t xml:space="preserve">9.2 </w:t>
            </w:r>
          </w:p>
        </w:tc>
        <w:tc>
          <w:tcPr>
            <w:tcW w:w="10978" w:type="dxa"/>
          </w:tcPr>
          <w:p>
            <w:pPr>
              <w:spacing w:line="360" w:lineRule="auto"/>
              <w:rPr>
                <w:rFonts w:ascii="宋体" w:hAnsi="宋体"/>
                <w:szCs w:val="21"/>
              </w:rPr>
            </w:pPr>
            <w:r>
              <w:rPr>
                <w:rFonts w:hint="eastAsia" w:ascii="宋体" w:hAnsi="宋体"/>
                <w:szCs w:val="21"/>
              </w:rPr>
              <w:t>由组长庞向军组织内部审核，查年度审核计划：提供《内部审核计划》，其内容已包括了审核目的、范围、依据、计划编制日期20</w:t>
            </w:r>
            <w:r>
              <w:rPr>
                <w:rFonts w:hint="eastAsia" w:ascii="宋体" w:hAnsi="宋体"/>
                <w:szCs w:val="21"/>
                <w:lang w:val="en-US" w:eastAsia="zh-CN"/>
              </w:rPr>
              <w:t>21</w:t>
            </w:r>
            <w:r>
              <w:rPr>
                <w:rFonts w:hint="eastAsia" w:ascii="宋体" w:hAnsi="宋体"/>
                <w:szCs w:val="21"/>
              </w:rPr>
              <w:t>.7.1</w:t>
            </w:r>
            <w:r>
              <w:rPr>
                <w:rFonts w:hint="eastAsia" w:ascii="宋体" w:hAnsi="宋体"/>
                <w:szCs w:val="21"/>
                <w:lang w:val="en-US" w:eastAsia="zh-CN"/>
              </w:rPr>
              <w:t>0</w:t>
            </w:r>
            <w:r>
              <w:rPr>
                <w:rFonts w:hint="eastAsia" w:ascii="宋体" w:hAnsi="宋体"/>
                <w:szCs w:val="21"/>
              </w:rPr>
              <w:t>日，编制：</w:t>
            </w:r>
            <w:r>
              <w:rPr>
                <w:rFonts w:hint="eastAsia" w:ascii="宋体" w:hAnsi="宋体"/>
                <w:szCs w:val="21"/>
                <w:lang w:val="en-US" w:eastAsia="zh-CN"/>
              </w:rPr>
              <w:t>蒋世鳌</w:t>
            </w:r>
            <w:r>
              <w:rPr>
                <w:rFonts w:hint="eastAsia" w:ascii="宋体" w:hAnsi="宋体"/>
                <w:szCs w:val="21"/>
              </w:rPr>
              <w:t xml:space="preserve"> 审批：</w:t>
            </w:r>
            <w:r>
              <w:rPr>
                <w:rFonts w:hint="eastAsia" w:ascii="宋体" w:hAnsi="宋体"/>
                <w:szCs w:val="21"/>
                <w:lang w:val="en-US" w:eastAsia="zh-CN"/>
              </w:rPr>
              <w:t>倪缝鹏</w:t>
            </w:r>
            <w:r>
              <w:rPr>
                <w:rFonts w:hint="eastAsia" w:ascii="宋体" w:hAnsi="宋体"/>
                <w:szCs w:val="21"/>
              </w:rPr>
              <w:t>。审核组构成：组长</w:t>
            </w:r>
            <w:r>
              <w:rPr>
                <w:rFonts w:hint="eastAsia" w:ascii="宋体" w:hAnsi="宋体"/>
                <w:szCs w:val="21"/>
                <w:lang w:val="en-US" w:eastAsia="zh-CN"/>
              </w:rPr>
              <w:t>蒋世鳌</w:t>
            </w:r>
            <w:r>
              <w:rPr>
                <w:rFonts w:hint="eastAsia" w:ascii="宋体" w:hAnsi="宋体"/>
                <w:szCs w:val="21"/>
              </w:rPr>
              <w:t>、组员</w:t>
            </w:r>
            <w:r>
              <w:rPr>
                <w:rFonts w:hint="eastAsia" w:ascii="宋体" w:hAnsi="宋体"/>
                <w:szCs w:val="21"/>
                <w:lang w:val="en-US" w:eastAsia="zh-CN"/>
              </w:rPr>
              <w:t>孙亚婷</w:t>
            </w:r>
            <w:r>
              <w:rPr>
                <w:rFonts w:hint="eastAsia" w:ascii="宋体" w:hAnsi="宋体"/>
                <w:szCs w:val="21"/>
              </w:rPr>
              <w:t>。</w:t>
            </w:r>
          </w:p>
          <w:p>
            <w:pPr>
              <w:spacing w:line="360" w:lineRule="auto"/>
              <w:rPr>
                <w:rFonts w:ascii="宋体" w:hAnsi="宋体"/>
                <w:szCs w:val="21"/>
              </w:rPr>
            </w:pPr>
            <w:r>
              <w:rPr>
                <w:rFonts w:hint="eastAsia" w:ascii="宋体" w:hAnsi="宋体"/>
                <w:szCs w:val="21"/>
              </w:rPr>
              <w:t>1. 审核时间20</w:t>
            </w:r>
            <w:r>
              <w:rPr>
                <w:rFonts w:hint="eastAsia" w:ascii="宋体" w:hAnsi="宋体"/>
                <w:szCs w:val="21"/>
                <w:lang w:val="en-US" w:eastAsia="zh-CN"/>
              </w:rPr>
              <w:t>21</w:t>
            </w:r>
            <w:r>
              <w:rPr>
                <w:rFonts w:hint="eastAsia" w:ascii="宋体" w:hAnsi="宋体"/>
                <w:szCs w:val="21"/>
              </w:rPr>
              <w:t>年7月1</w:t>
            </w:r>
            <w:r>
              <w:rPr>
                <w:rFonts w:hint="eastAsia" w:ascii="宋体" w:hAnsi="宋体"/>
                <w:szCs w:val="21"/>
                <w:lang w:val="en-US" w:eastAsia="zh-CN"/>
              </w:rPr>
              <w:t>7-18</w:t>
            </w:r>
            <w:r>
              <w:rPr>
                <w:rFonts w:hint="eastAsia" w:ascii="宋体" w:hAnsi="宋体"/>
                <w:szCs w:val="21"/>
              </w:rPr>
              <w:t>日。</w:t>
            </w:r>
          </w:p>
          <w:p>
            <w:pPr>
              <w:spacing w:line="360" w:lineRule="auto"/>
              <w:rPr>
                <w:rFonts w:ascii="宋体" w:hAnsi="宋体"/>
                <w:szCs w:val="21"/>
              </w:rPr>
            </w:pPr>
            <w:r>
              <w:rPr>
                <w:rFonts w:hint="eastAsia" w:ascii="宋体" w:hAnsi="宋体"/>
                <w:szCs w:val="21"/>
              </w:rPr>
              <w:t>2.审核按计划进行，抽查检查表</w:t>
            </w:r>
            <w:r>
              <w:rPr>
                <w:rFonts w:hint="eastAsia" w:ascii="宋体" w:hAnsi="宋体"/>
                <w:szCs w:val="21"/>
                <w:lang w:eastAsia="zh-CN"/>
              </w:rPr>
              <w:t>管理科</w:t>
            </w:r>
            <w:r>
              <w:rPr>
                <w:rFonts w:hint="eastAsia" w:ascii="宋体" w:hAnsi="宋体"/>
                <w:szCs w:val="21"/>
              </w:rPr>
              <w:t>、生产部审核记录与计划相一致，</w:t>
            </w:r>
            <w:r>
              <w:rPr>
                <w:rFonts w:hint="eastAsia" w:ascii="宋体" w:hAnsi="宋体"/>
                <w:szCs w:val="21"/>
                <w:lang w:val="en-US" w:eastAsia="zh-CN"/>
              </w:rPr>
              <w:t>2</w:t>
            </w:r>
            <w:r>
              <w:rPr>
                <w:rFonts w:hint="eastAsia" w:ascii="宋体" w:hAnsi="宋体"/>
                <w:szCs w:val="21"/>
              </w:rPr>
              <w:t>名内审员经内部培训合格，能力还需加强；</w:t>
            </w:r>
          </w:p>
          <w:p>
            <w:pPr>
              <w:spacing w:line="360" w:lineRule="auto"/>
              <w:rPr>
                <w:rFonts w:ascii="宋体" w:hAnsi="宋体"/>
                <w:szCs w:val="21"/>
              </w:rPr>
            </w:pPr>
            <w:r>
              <w:rPr>
                <w:rFonts w:hint="eastAsia" w:ascii="宋体" w:hAnsi="宋体"/>
                <w:szCs w:val="21"/>
              </w:rPr>
              <w:t>审核计划已考虑到互查的公正性，无审核员审核本部门的工作，计划内容涉及各部门，条款覆盖整个体系。本次内审发现</w:t>
            </w:r>
            <w:r>
              <w:rPr>
                <w:rFonts w:hint="eastAsia" w:ascii="宋体" w:hAnsi="宋体"/>
                <w:szCs w:val="21"/>
                <w:lang w:val="en-US" w:eastAsia="zh-CN"/>
              </w:rPr>
              <w:t>2</w:t>
            </w:r>
            <w:r>
              <w:rPr>
                <w:rFonts w:hint="eastAsia" w:ascii="宋体" w:hAnsi="宋体"/>
                <w:szCs w:val="21"/>
              </w:rPr>
              <w:t>个一般不符合项，针对这</w:t>
            </w:r>
            <w:r>
              <w:rPr>
                <w:rFonts w:hint="eastAsia" w:ascii="宋体" w:hAnsi="宋体"/>
                <w:szCs w:val="21"/>
                <w:lang w:val="en-US" w:eastAsia="zh-CN"/>
              </w:rPr>
              <w:t>2</w:t>
            </w:r>
            <w:r>
              <w:rPr>
                <w:rFonts w:hint="eastAsia" w:ascii="宋体" w:hAnsi="宋体"/>
                <w:szCs w:val="21"/>
              </w:rPr>
              <w:t>个不合格，</w:t>
            </w:r>
            <w:r>
              <w:rPr>
                <w:rFonts w:hint="eastAsia" w:ascii="宋体" w:hAnsi="宋体"/>
                <w:szCs w:val="21"/>
                <w:lang w:eastAsia="zh-CN"/>
              </w:rPr>
              <w:t>管理科</w:t>
            </w:r>
            <w:r>
              <w:rPr>
                <w:rFonts w:hint="eastAsia" w:ascii="宋体" w:hAnsi="宋体"/>
                <w:szCs w:val="21"/>
              </w:rPr>
              <w:t>已分析了原因并采取了纠正措施，按要求进行了整改，最后内审员进行了验证，纠正措施实施有效。</w:t>
            </w:r>
          </w:p>
          <w:p>
            <w:pPr>
              <w:spacing w:line="360" w:lineRule="auto"/>
            </w:pPr>
            <w:r>
              <w:rPr>
                <w:rFonts w:hint="eastAsia" w:ascii="宋体" w:hAnsi="宋体"/>
                <w:szCs w:val="21"/>
              </w:rPr>
              <w:t>内部审核结论：提供了《内部审核报告》，对现场审核进行了综述，对环境管理体系进行了符合性的综合评价，最后结论为：公司的环境管理体系基本符合标准要求，运行有效。</w:t>
            </w:r>
          </w:p>
        </w:tc>
        <w:tc>
          <w:tcPr>
            <w:tcW w:w="115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8" w:type="dxa"/>
          </w:tcPr>
          <w:p>
            <w:pPr>
              <w:rPr>
                <w:szCs w:val="22"/>
              </w:rPr>
            </w:pPr>
            <w:r>
              <w:rPr>
                <w:rFonts w:hint="eastAsia"/>
                <w:szCs w:val="22"/>
              </w:rPr>
              <w:t>不合格和纠正措施</w:t>
            </w:r>
          </w:p>
        </w:tc>
        <w:tc>
          <w:tcPr>
            <w:tcW w:w="968" w:type="dxa"/>
          </w:tcPr>
          <w:p>
            <w:pPr>
              <w:rPr>
                <w:szCs w:val="22"/>
              </w:rPr>
            </w:pPr>
            <w:r>
              <w:rPr>
                <w:rFonts w:hint="eastAsia"/>
                <w:szCs w:val="22"/>
              </w:rPr>
              <w:t>10.2</w:t>
            </w:r>
          </w:p>
        </w:tc>
        <w:tc>
          <w:tcPr>
            <w:tcW w:w="10978" w:type="dxa"/>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管理科</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155" w:type="dxa"/>
          </w:tcPr>
          <w:p>
            <w:r>
              <w:rPr>
                <w:rFonts w:hint="eastAsia"/>
                <w:lang w:val="en-US" w:eastAsia="zh-CN"/>
              </w:rPr>
              <w:t>合格</w:t>
            </w:r>
          </w:p>
        </w:tc>
      </w:tr>
    </w:tbl>
    <w:p>
      <w:r>
        <w:ptab w:relativeTo="margin" w:alignment="center" w:leader="none"/>
      </w:r>
    </w:p>
    <w:p>
      <w:pPr>
        <w:pStyle w:val="8"/>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15B23"/>
    <w:rsid w:val="001A2D7F"/>
    <w:rsid w:val="002939AD"/>
    <w:rsid w:val="00337922"/>
    <w:rsid w:val="00340867"/>
    <w:rsid w:val="00380837"/>
    <w:rsid w:val="003A198A"/>
    <w:rsid w:val="003D1342"/>
    <w:rsid w:val="00410914"/>
    <w:rsid w:val="00536930"/>
    <w:rsid w:val="00564E53"/>
    <w:rsid w:val="005D5659"/>
    <w:rsid w:val="00600C20"/>
    <w:rsid w:val="00644FE2"/>
    <w:rsid w:val="0067640C"/>
    <w:rsid w:val="006E678B"/>
    <w:rsid w:val="007757F3"/>
    <w:rsid w:val="007E6AEB"/>
    <w:rsid w:val="008973EE"/>
    <w:rsid w:val="008F2282"/>
    <w:rsid w:val="009642EC"/>
    <w:rsid w:val="00971600"/>
    <w:rsid w:val="009973B4"/>
    <w:rsid w:val="009C28C1"/>
    <w:rsid w:val="009F7EED"/>
    <w:rsid w:val="00A80636"/>
    <w:rsid w:val="00AF0AAB"/>
    <w:rsid w:val="00BF597E"/>
    <w:rsid w:val="00C0118A"/>
    <w:rsid w:val="00C51A36"/>
    <w:rsid w:val="00C55228"/>
    <w:rsid w:val="00CE315A"/>
    <w:rsid w:val="00CF7B08"/>
    <w:rsid w:val="00D06F59"/>
    <w:rsid w:val="00D8388C"/>
    <w:rsid w:val="00E407A5"/>
    <w:rsid w:val="00E6224C"/>
    <w:rsid w:val="00EB0164"/>
    <w:rsid w:val="00EC7076"/>
    <w:rsid w:val="00ED0F62"/>
    <w:rsid w:val="01283A58"/>
    <w:rsid w:val="06CA6B4A"/>
    <w:rsid w:val="0B9F76BA"/>
    <w:rsid w:val="0BFE20C2"/>
    <w:rsid w:val="0E032871"/>
    <w:rsid w:val="108219C2"/>
    <w:rsid w:val="11C85183"/>
    <w:rsid w:val="147C5DC5"/>
    <w:rsid w:val="199F43B2"/>
    <w:rsid w:val="1A050FCC"/>
    <w:rsid w:val="1D2C37CF"/>
    <w:rsid w:val="1E65758E"/>
    <w:rsid w:val="257C04D3"/>
    <w:rsid w:val="261D4DB3"/>
    <w:rsid w:val="29874623"/>
    <w:rsid w:val="2A6A7236"/>
    <w:rsid w:val="2C0A469E"/>
    <w:rsid w:val="2C9D7424"/>
    <w:rsid w:val="2D2C2FE9"/>
    <w:rsid w:val="2E800E2A"/>
    <w:rsid w:val="2F066F51"/>
    <w:rsid w:val="331C6F06"/>
    <w:rsid w:val="34E54193"/>
    <w:rsid w:val="36EB43B9"/>
    <w:rsid w:val="37893FD3"/>
    <w:rsid w:val="3C0E5144"/>
    <w:rsid w:val="3C8B51B8"/>
    <w:rsid w:val="438F1C44"/>
    <w:rsid w:val="44FB54A2"/>
    <w:rsid w:val="46A05244"/>
    <w:rsid w:val="4A940310"/>
    <w:rsid w:val="4BEB3BEE"/>
    <w:rsid w:val="4DB72E73"/>
    <w:rsid w:val="505C3145"/>
    <w:rsid w:val="524F053D"/>
    <w:rsid w:val="537442D0"/>
    <w:rsid w:val="582F271D"/>
    <w:rsid w:val="5AAF6A77"/>
    <w:rsid w:val="5B99154F"/>
    <w:rsid w:val="5E7C52B9"/>
    <w:rsid w:val="5EA12B9A"/>
    <w:rsid w:val="601A7438"/>
    <w:rsid w:val="663E594B"/>
    <w:rsid w:val="66EB6CF4"/>
    <w:rsid w:val="67C10856"/>
    <w:rsid w:val="695920EE"/>
    <w:rsid w:val="6B8C6A2B"/>
    <w:rsid w:val="70336303"/>
    <w:rsid w:val="72476A7D"/>
    <w:rsid w:val="729A2DEC"/>
    <w:rsid w:val="7B307D45"/>
    <w:rsid w:val="7B335210"/>
    <w:rsid w:val="7D142775"/>
    <w:rsid w:val="7D3763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jc w:val="center"/>
    </w:pPr>
    <w:rPr>
      <w:sz w:val="18"/>
    </w:rPr>
  </w:style>
  <w:style w:type="paragraph" w:styleId="6">
    <w:name w:val="Plain Text"/>
    <w:basedOn w:val="1"/>
    <w:qFormat/>
    <w:uiPriority w:val="0"/>
    <w:rPr>
      <w:rFonts w:ascii="宋体" w:hAnsi="Courier New"/>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1323</Words>
  <Characters>7546</Characters>
  <Lines>62</Lines>
  <Paragraphs>17</Paragraphs>
  <TotalTime>2</TotalTime>
  <ScaleCrop>false</ScaleCrop>
  <LinksUpToDate>false</LinksUpToDate>
  <CharactersWithSpaces>8852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2021-09-16T08:44:10Z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