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安吉县天驰竹木业有限公司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06.01.00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丁旭卫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06.01.00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竹板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砂光机定厚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四面刨加工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双端铣加工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豪迈铣槽线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水平衡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地板封背油漆线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地板腻子机线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油漆线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成品打包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仓库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重大危险源：火灾、触电、机械伤害、噪声伤害、粉尘伤害等；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控制措施：选用低噪声设备，合理布局，隔声减震；设备、电路定期检修、不定期检查，提高安全意识；做好火灾预防措施。一旦发生按相关应急预案执行；布袋除尘器，加强个体防护。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中华人民共和国安全生产法、劳动法、职业病防治法、GB/T3324-2017木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家具通用技术标准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spacing w:val="-8"/>
                <w:sz w:val="21"/>
                <w:szCs w:val="21"/>
              </w:rPr>
              <w:t>外观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、</w:t>
            </w:r>
            <w:r>
              <w:rPr>
                <w:rFonts w:ascii="宋体" w:hAnsi="宋体"/>
                <w:spacing w:val="-8"/>
                <w:sz w:val="21"/>
                <w:szCs w:val="21"/>
              </w:rPr>
              <w:t>尺寸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型式试验要求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5C18D9"/>
    <w:rsid w:val="721D5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2021-10-12T02:25:30Z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