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1"/>
        <w:tblW w:w="1453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809"/>
        <w:gridCol w:w="1158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07" w:type="dxa"/>
            <w:vMerge w:val="restart"/>
            <w:vAlign w:val="center"/>
          </w:tcPr>
          <w:p>
            <w:r>
              <w:rPr>
                <w:rFonts w:hint="eastAsia"/>
              </w:rPr>
              <w:t>过程与活动、抽样计划</w:t>
            </w:r>
          </w:p>
        </w:tc>
        <w:tc>
          <w:tcPr>
            <w:tcW w:w="809" w:type="dxa"/>
            <w:vMerge w:val="restart"/>
            <w:vAlign w:val="center"/>
          </w:tcPr>
          <w:p>
            <w:r>
              <w:rPr>
                <w:rFonts w:hint="eastAsia"/>
              </w:rPr>
              <w:t>涉及</w:t>
            </w:r>
          </w:p>
          <w:p>
            <w:r>
              <w:rPr>
                <w:rFonts w:hint="eastAsia"/>
              </w:rPr>
              <w:t>条款</w:t>
            </w:r>
          </w:p>
        </w:tc>
        <w:tc>
          <w:tcPr>
            <w:tcW w:w="11581" w:type="dxa"/>
            <w:vAlign w:val="center"/>
          </w:tcPr>
          <w:p>
            <w:r>
              <w:rPr>
                <w:rFonts w:hint="eastAsia"/>
              </w:rPr>
              <w:t>受审核部门：销售部</w:t>
            </w:r>
            <w:r>
              <w:t xml:space="preserve">   </w:t>
            </w:r>
            <w:r>
              <w:rPr>
                <w:rFonts w:hint="eastAsia"/>
              </w:rPr>
              <w:t>主管领导：</w:t>
            </w:r>
            <w:r>
              <w:rPr>
                <w:rFonts w:hint="eastAsia"/>
                <w:lang w:val="en-US" w:eastAsia="zh-CN"/>
              </w:rPr>
              <w:t>吴俊晟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>
            <w:r>
              <w:rPr>
                <w:rFonts w:hint="eastAsia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7" w:type="dxa"/>
            <w:vMerge w:val="continue"/>
            <w:vAlign w:val="center"/>
          </w:tcPr>
          <w:p/>
        </w:tc>
        <w:tc>
          <w:tcPr>
            <w:tcW w:w="809" w:type="dxa"/>
            <w:vMerge w:val="continue"/>
            <w:vAlign w:val="center"/>
          </w:tcPr>
          <w:p/>
        </w:tc>
        <w:tc>
          <w:tcPr>
            <w:tcW w:w="11581" w:type="dxa"/>
            <w:vAlign w:val="center"/>
          </w:tcPr>
          <w:p>
            <w:r>
              <w:rPr>
                <w:rFonts w:hint="eastAsia"/>
              </w:rPr>
              <w:t>审核员：伍光华 王腾昌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审核时间：2021年9月1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7" w:type="dxa"/>
            <w:vMerge w:val="continue"/>
            <w:vAlign w:val="center"/>
          </w:tcPr>
          <w:p/>
        </w:tc>
        <w:tc>
          <w:tcPr>
            <w:tcW w:w="809" w:type="dxa"/>
            <w:vMerge w:val="continue"/>
            <w:vAlign w:val="center"/>
          </w:tcPr>
          <w:p/>
        </w:tc>
        <w:tc>
          <w:tcPr>
            <w:tcW w:w="11581" w:type="dxa"/>
            <w:vAlign w:val="center"/>
          </w:tcPr>
          <w:p>
            <w:r>
              <w:rPr>
                <w:rFonts w:hint="eastAsia"/>
              </w:rPr>
              <w:t>审核条款：E</w:t>
            </w:r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6.1.2环境因素/危险源辨识与评价</w:t>
            </w:r>
          </w:p>
        </w:tc>
        <w:tc>
          <w:tcPr>
            <w:tcW w:w="113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07" w:type="dxa"/>
            <w:vAlign w:val="center"/>
          </w:tcPr>
          <w:p>
            <w:r>
              <w:rPr>
                <w:rFonts w:hint="eastAsia"/>
              </w:rPr>
              <w:t>环境因素危险源的识别和评价</w:t>
            </w:r>
          </w:p>
        </w:tc>
        <w:tc>
          <w:tcPr>
            <w:tcW w:w="809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E</w:t>
            </w:r>
            <w:r>
              <w:rPr>
                <w:rFonts w:hint="eastAsia"/>
                <w:lang w:val="en-US" w:eastAsia="zh-CN"/>
              </w:rPr>
              <w:t>O</w:t>
            </w:r>
          </w:p>
          <w:p>
            <w:r>
              <w:rPr>
                <w:rFonts w:hint="eastAsia"/>
              </w:rPr>
              <w:t>6.1.2</w:t>
            </w:r>
          </w:p>
        </w:tc>
        <w:tc>
          <w:tcPr>
            <w:tcW w:w="1158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销售部负责对本部门环境因素</w:t>
            </w:r>
            <w:r>
              <w:rPr>
                <w:rFonts w:hint="eastAsia"/>
                <w:lang w:val="en-US" w:eastAsia="zh-CN"/>
              </w:rPr>
              <w:t>和危险源</w:t>
            </w:r>
            <w:r>
              <w:rPr>
                <w:rFonts w:hint="eastAsia"/>
              </w:rPr>
              <w:t>识别，</w:t>
            </w:r>
            <w: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月份对环境因素</w:t>
            </w:r>
            <w:r>
              <w:rPr>
                <w:rFonts w:hint="eastAsia"/>
                <w:lang w:val="en-US" w:eastAsia="zh-CN"/>
              </w:rPr>
              <w:t>和危险源</w:t>
            </w:r>
            <w:r>
              <w:rPr>
                <w:rFonts w:hint="eastAsia"/>
              </w:rPr>
              <w:t>进行了识别和评价。</w:t>
            </w:r>
          </w:p>
          <w:p>
            <w:pPr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 w:eastAsia="宋体"/>
                <w:szCs w:val="22"/>
                <w:lang w:val="en-US" w:eastAsia="zh-CN"/>
              </w:rPr>
              <w:t>执行《环境因素识别与控制程序》</w:t>
            </w:r>
          </w:p>
          <w:p>
            <w:pPr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 w:eastAsia="宋体"/>
                <w:szCs w:val="22"/>
                <w:lang w:val="en-US" w:eastAsia="zh-CN"/>
              </w:rPr>
              <w:t>提供的“环境因素识别评价表”“重要环境因素清单”， 评价考虑了三种时态现在、过去、将来、三种状态、异常、正常、紧急考虑了法律法规，并进行了评价，用打分法考虑了法规符合性、发生频次、影响范围等, 通过定性判断法，共识别出重大环境因素6项：废水、废气、危废排放、火灾、资源消耗，评价符合程序要求及公司的实际情况。</w:t>
            </w:r>
          </w:p>
          <w:p>
            <w:pPr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 w:eastAsia="宋体"/>
                <w:szCs w:val="22"/>
                <w:lang w:val="en-US" w:eastAsia="zh-CN"/>
              </w:rPr>
              <w:t>提供《重要环境因素清单》，其中涉及</w:t>
            </w:r>
            <w:r>
              <w:rPr>
                <w:rFonts w:hint="eastAsia"/>
                <w:szCs w:val="22"/>
                <w:lang w:val="en-US" w:eastAsia="zh-CN"/>
              </w:rPr>
              <w:t>销售部</w:t>
            </w:r>
            <w:r>
              <w:rPr>
                <w:rFonts w:hint="eastAsia" w:eastAsia="宋体"/>
                <w:szCs w:val="22"/>
                <w:lang w:val="en-US" w:eastAsia="zh-CN"/>
              </w:rPr>
              <w:t>的重要环境因素：火灾。</w:t>
            </w:r>
          </w:p>
          <w:p>
            <w:pPr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 w:eastAsia="宋体"/>
                <w:szCs w:val="22"/>
                <w:lang w:val="en-US" w:eastAsia="zh-CN"/>
              </w:rPr>
              <w:t>评价基本合理。识别人：</w:t>
            </w:r>
            <w:r>
              <w:rPr>
                <w:rFonts w:hint="eastAsia"/>
                <w:szCs w:val="22"/>
                <w:lang w:val="en-US" w:eastAsia="zh-CN"/>
              </w:rPr>
              <w:t xml:space="preserve">吴俊晟  </w:t>
            </w:r>
            <w:r>
              <w:rPr>
                <w:rFonts w:hint="eastAsia" w:eastAsia="宋体"/>
                <w:szCs w:val="22"/>
                <w:lang w:val="en-US" w:eastAsia="zh-CN"/>
              </w:rPr>
              <w:t>等   审批：吴会荣2021-3-1。</w:t>
            </w:r>
          </w:p>
          <w:p>
            <w:pPr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 w:eastAsia="宋体"/>
                <w:szCs w:val="22"/>
                <w:lang w:val="en-US" w:eastAsia="zh-CN"/>
              </w:rPr>
              <w:t>执行《危险源识别和评价控制程序》</w:t>
            </w:r>
          </w:p>
          <w:p>
            <w:pPr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 w:eastAsia="宋体"/>
                <w:szCs w:val="22"/>
                <w:lang w:val="en-US" w:eastAsia="zh-CN"/>
              </w:rPr>
              <w:t>提供了《职业健康安全危险源识别与评价表》，涉及本部门的危险源包括：使用电器不当造成触电，搬运货物造成的砸伤，吸烟乱扔烟头导致火灾，</w:t>
            </w:r>
            <w:r>
              <w:rPr>
                <w:rFonts w:hint="eastAsia"/>
                <w:szCs w:val="22"/>
                <w:lang w:val="en-US" w:eastAsia="zh-CN"/>
              </w:rPr>
              <w:t>销售</w:t>
            </w:r>
            <w:r>
              <w:rPr>
                <w:rFonts w:hint="eastAsia" w:eastAsia="宋体"/>
                <w:szCs w:val="22"/>
                <w:lang w:val="en-US" w:eastAsia="zh-CN"/>
              </w:rPr>
              <w:t>过程途中交通危险，电器短路或使用时间过长散热不良，相关方出入驾驶员违章驾驶等。</w:t>
            </w:r>
          </w:p>
          <w:p>
            <w:pPr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 w:eastAsia="宋体"/>
                <w:szCs w:val="22"/>
                <w:lang w:val="en-US" w:eastAsia="zh-CN"/>
              </w:rPr>
              <w:t xml:space="preserve">用直接判断法对识别的危险源进行评价。 </w:t>
            </w:r>
          </w:p>
          <w:p>
            <w:pPr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 w:eastAsia="宋体"/>
                <w:szCs w:val="22"/>
                <w:lang w:val="en-US" w:eastAsia="zh-CN"/>
              </w:rPr>
              <w:t>提供“危险源辨识风险评价表”，涉及本部门的的危险源已辨识出线路老化、</w:t>
            </w:r>
            <w:bookmarkStart w:id="0" w:name="_GoBack"/>
            <w:bookmarkEnd w:id="0"/>
            <w:r>
              <w:rPr>
                <w:rFonts w:hint="eastAsia" w:eastAsia="宋体"/>
                <w:szCs w:val="22"/>
                <w:lang w:val="en-US" w:eastAsia="zh-CN"/>
              </w:rPr>
              <w:t>短路隐患、电线漏电等情况产生的火灾、触电等危险因素。</w:t>
            </w:r>
          </w:p>
          <w:p>
            <w:pPr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 w:eastAsia="宋体"/>
                <w:szCs w:val="22"/>
                <w:lang w:val="en-US" w:eastAsia="zh-CN"/>
              </w:rPr>
              <w:t>提供了“不可接受风险清单”</w:t>
            </w:r>
          </w:p>
          <w:p>
            <w:pPr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 w:eastAsia="宋体"/>
                <w:szCs w:val="22"/>
                <w:lang w:val="en-US" w:eastAsia="zh-CN"/>
              </w:rPr>
              <w:t>涉及本部门的重要</w:t>
            </w:r>
            <w:r>
              <w:rPr>
                <w:rFonts w:hint="eastAsia"/>
                <w:szCs w:val="22"/>
                <w:lang w:val="en-US" w:eastAsia="zh-CN"/>
              </w:rPr>
              <w:t>危险源</w:t>
            </w:r>
            <w:r>
              <w:rPr>
                <w:rFonts w:hint="eastAsia" w:eastAsia="宋体"/>
                <w:szCs w:val="22"/>
                <w:lang w:val="en-US" w:eastAsia="zh-CN"/>
              </w:rPr>
              <w:t>：火灾和交通意外伤害。评价基本准确。</w:t>
            </w:r>
          </w:p>
          <w:p>
            <w:pPr>
              <w:pStyle w:val="2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 w:eastAsia="宋体"/>
                <w:szCs w:val="22"/>
                <w:lang w:val="en-US" w:eastAsia="zh-CN"/>
              </w:rPr>
              <w:t>识别人：</w:t>
            </w:r>
            <w:r>
              <w:rPr>
                <w:rFonts w:hint="eastAsia"/>
                <w:szCs w:val="22"/>
                <w:lang w:val="en-US" w:eastAsia="zh-CN"/>
              </w:rPr>
              <w:t xml:space="preserve">吴俊晟  </w:t>
            </w:r>
            <w:r>
              <w:rPr>
                <w:rFonts w:hint="eastAsia" w:eastAsia="宋体"/>
                <w:szCs w:val="22"/>
                <w:lang w:val="en-US" w:eastAsia="zh-CN"/>
              </w:rPr>
              <w:t>等   审批：吴会荣2021-3-1。</w:t>
            </w:r>
          </w:p>
          <w:p>
            <w:pPr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</w:rPr>
              <w:t>环境因素及危险源识别和评价基本适宜。</w:t>
            </w:r>
          </w:p>
        </w:tc>
        <w:tc>
          <w:tcPr>
            <w:tcW w:w="1134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符合</w:t>
            </w:r>
          </w:p>
        </w:tc>
      </w:tr>
    </w:tbl>
    <w:p>
      <w:r>
        <w:ptab w:relativeTo="margin" w:alignment="center" w:leader="none"/>
      </w:r>
    </w:p>
    <w:p>
      <w:pPr>
        <w:pStyle w:val="8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8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6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6"/>
        <w:rFonts w:hint="default"/>
      </w:rPr>
      <w:t>北京国标联合认证有限公司</w:t>
    </w:r>
    <w:r>
      <w:rPr>
        <w:rStyle w:val="16"/>
        <w:rFonts w:hint="default"/>
      </w:rPr>
      <w:tab/>
    </w:r>
    <w:r>
      <w:rPr>
        <w:rStyle w:val="16"/>
        <w:rFonts w:hint="default"/>
      </w:rPr>
      <w:tab/>
    </w:r>
    <w:r>
      <w:rPr>
        <w:rStyle w:val="16"/>
        <w:rFonts w:hint="default"/>
      </w:rPr>
      <w:tab/>
    </w:r>
  </w:p>
  <w:p>
    <w:pPr>
      <w:pStyle w:val="9"/>
      <w:pBdr>
        <w:bottom w:val="none" w:color="auto" w:sz="0" w:space="1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016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31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1312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EGquXWAAAACgEAAA8AAAAAAAAAAQAgAAAAIgAA&#10;AGRycy9kb3ducmV2LnhtbFBLAQIUABQAAAAIAIdO4kB44SF40QEAAI4DAAAOAAAAAAAAAAEAIAAA&#10;ACUBAABkcnMvZTJvRG9jLnhtbFBLBQYAAAAABgAGAFkBAABo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ISC-B-I-</w:t>
                    </w:r>
                    <w:r>
                      <w:rPr>
                        <w:sz w:val="18"/>
                        <w:szCs w:val="18"/>
                      </w:rPr>
                      <w:t>31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 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6"/>
        <w:rFonts w:hint="default"/>
        <w:w w:val="90"/>
      </w:rPr>
      <w:t>Beijing International Standard united Certification Co.,Ltd.</w:t>
    </w:r>
  </w:p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17A34"/>
    <w:rsid w:val="000237F6"/>
    <w:rsid w:val="00024C50"/>
    <w:rsid w:val="0003373A"/>
    <w:rsid w:val="00036143"/>
    <w:rsid w:val="00046917"/>
    <w:rsid w:val="00053AAE"/>
    <w:rsid w:val="00071661"/>
    <w:rsid w:val="00090528"/>
    <w:rsid w:val="000909FD"/>
    <w:rsid w:val="000A53EB"/>
    <w:rsid w:val="000B0723"/>
    <w:rsid w:val="00181E98"/>
    <w:rsid w:val="00187822"/>
    <w:rsid w:val="00190248"/>
    <w:rsid w:val="00193307"/>
    <w:rsid w:val="001A2D7F"/>
    <w:rsid w:val="001E6B5E"/>
    <w:rsid w:val="001F0932"/>
    <w:rsid w:val="002003A0"/>
    <w:rsid w:val="002119A8"/>
    <w:rsid w:val="002426BC"/>
    <w:rsid w:val="002539A0"/>
    <w:rsid w:val="00276240"/>
    <w:rsid w:val="00283657"/>
    <w:rsid w:val="0028761A"/>
    <w:rsid w:val="00292C83"/>
    <w:rsid w:val="002B311A"/>
    <w:rsid w:val="002E1F88"/>
    <w:rsid w:val="003022CC"/>
    <w:rsid w:val="00337922"/>
    <w:rsid w:val="00340867"/>
    <w:rsid w:val="003518B5"/>
    <w:rsid w:val="003525A9"/>
    <w:rsid w:val="00366399"/>
    <w:rsid w:val="00371C74"/>
    <w:rsid w:val="00375E04"/>
    <w:rsid w:val="00380837"/>
    <w:rsid w:val="00384E2C"/>
    <w:rsid w:val="003A198A"/>
    <w:rsid w:val="003B3E99"/>
    <w:rsid w:val="003D3E93"/>
    <w:rsid w:val="003F5657"/>
    <w:rsid w:val="003F740E"/>
    <w:rsid w:val="00410914"/>
    <w:rsid w:val="00411629"/>
    <w:rsid w:val="00440658"/>
    <w:rsid w:val="00451BDD"/>
    <w:rsid w:val="00464DDE"/>
    <w:rsid w:val="004674DB"/>
    <w:rsid w:val="00470352"/>
    <w:rsid w:val="00484369"/>
    <w:rsid w:val="004920B1"/>
    <w:rsid w:val="004B720C"/>
    <w:rsid w:val="004E2437"/>
    <w:rsid w:val="004E5837"/>
    <w:rsid w:val="00526127"/>
    <w:rsid w:val="00536930"/>
    <w:rsid w:val="00564E53"/>
    <w:rsid w:val="005946BA"/>
    <w:rsid w:val="005C56FD"/>
    <w:rsid w:val="005C5DF7"/>
    <w:rsid w:val="005D203C"/>
    <w:rsid w:val="005D4E2C"/>
    <w:rsid w:val="005F0441"/>
    <w:rsid w:val="0060324D"/>
    <w:rsid w:val="00636B21"/>
    <w:rsid w:val="00644FE2"/>
    <w:rsid w:val="00646FEC"/>
    <w:rsid w:val="00662A0A"/>
    <w:rsid w:val="00674B11"/>
    <w:rsid w:val="0067640C"/>
    <w:rsid w:val="006836CF"/>
    <w:rsid w:val="006E678B"/>
    <w:rsid w:val="006F2701"/>
    <w:rsid w:val="0072147E"/>
    <w:rsid w:val="0072416A"/>
    <w:rsid w:val="00746279"/>
    <w:rsid w:val="007575E1"/>
    <w:rsid w:val="007757F3"/>
    <w:rsid w:val="00792877"/>
    <w:rsid w:val="00796CD7"/>
    <w:rsid w:val="00797420"/>
    <w:rsid w:val="007A1DA8"/>
    <w:rsid w:val="007A4796"/>
    <w:rsid w:val="007A5046"/>
    <w:rsid w:val="007C391D"/>
    <w:rsid w:val="007D25D3"/>
    <w:rsid w:val="007E6AEB"/>
    <w:rsid w:val="007F14F1"/>
    <w:rsid w:val="008012C2"/>
    <w:rsid w:val="00815D2E"/>
    <w:rsid w:val="008252BD"/>
    <w:rsid w:val="00825954"/>
    <w:rsid w:val="008433DF"/>
    <w:rsid w:val="00862507"/>
    <w:rsid w:val="0089411D"/>
    <w:rsid w:val="008973EE"/>
    <w:rsid w:val="00961F4F"/>
    <w:rsid w:val="00971600"/>
    <w:rsid w:val="00976228"/>
    <w:rsid w:val="00983C4C"/>
    <w:rsid w:val="009973B4"/>
    <w:rsid w:val="00997D7E"/>
    <w:rsid w:val="009A17DD"/>
    <w:rsid w:val="009C28C1"/>
    <w:rsid w:val="009E5A60"/>
    <w:rsid w:val="009F0149"/>
    <w:rsid w:val="009F2225"/>
    <w:rsid w:val="009F2F86"/>
    <w:rsid w:val="009F7EED"/>
    <w:rsid w:val="00A02F21"/>
    <w:rsid w:val="00A276A6"/>
    <w:rsid w:val="00A3294E"/>
    <w:rsid w:val="00A50632"/>
    <w:rsid w:val="00A51134"/>
    <w:rsid w:val="00AC0499"/>
    <w:rsid w:val="00AF0AAB"/>
    <w:rsid w:val="00B1087D"/>
    <w:rsid w:val="00B160FB"/>
    <w:rsid w:val="00B16488"/>
    <w:rsid w:val="00B1795C"/>
    <w:rsid w:val="00B26981"/>
    <w:rsid w:val="00B32E56"/>
    <w:rsid w:val="00B475D1"/>
    <w:rsid w:val="00B50C92"/>
    <w:rsid w:val="00B6150E"/>
    <w:rsid w:val="00B66FE1"/>
    <w:rsid w:val="00B73A93"/>
    <w:rsid w:val="00B95A05"/>
    <w:rsid w:val="00BB0BC9"/>
    <w:rsid w:val="00BC6844"/>
    <w:rsid w:val="00BE29A2"/>
    <w:rsid w:val="00BF597E"/>
    <w:rsid w:val="00C25D84"/>
    <w:rsid w:val="00C5177A"/>
    <w:rsid w:val="00C51A36"/>
    <w:rsid w:val="00C55228"/>
    <w:rsid w:val="00C76E98"/>
    <w:rsid w:val="00C80696"/>
    <w:rsid w:val="00CA1D28"/>
    <w:rsid w:val="00CB1062"/>
    <w:rsid w:val="00CD0F2B"/>
    <w:rsid w:val="00CD106F"/>
    <w:rsid w:val="00CD278B"/>
    <w:rsid w:val="00CE315A"/>
    <w:rsid w:val="00CE6D06"/>
    <w:rsid w:val="00CF776D"/>
    <w:rsid w:val="00D06F59"/>
    <w:rsid w:val="00D11C38"/>
    <w:rsid w:val="00D513CF"/>
    <w:rsid w:val="00D77D72"/>
    <w:rsid w:val="00D8388C"/>
    <w:rsid w:val="00DA2A63"/>
    <w:rsid w:val="00DA57D8"/>
    <w:rsid w:val="00DB65E4"/>
    <w:rsid w:val="00DF2EA5"/>
    <w:rsid w:val="00E7307B"/>
    <w:rsid w:val="00E754A7"/>
    <w:rsid w:val="00E80AE3"/>
    <w:rsid w:val="00E80CCA"/>
    <w:rsid w:val="00E86639"/>
    <w:rsid w:val="00E93330"/>
    <w:rsid w:val="00E954C4"/>
    <w:rsid w:val="00EB0164"/>
    <w:rsid w:val="00ED0F62"/>
    <w:rsid w:val="00F305C2"/>
    <w:rsid w:val="00F3665D"/>
    <w:rsid w:val="00F617EA"/>
    <w:rsid w:val="00F71A76"/>
    <w:rsid w:val="00F77ECA"/>
    <w:rsid w:val="00F87C00"/>
    <w:rsid w:val="00F95653"/>
    <w:rsid w:val="00FA32A7"/>
    <w:rsid w:val="00FB3DD3"/>
    <w:rsid w:val="00FC02C4"/>
    <w:rsid w:val="00FD2F92"/>
    <w:rsid w:val="00FD35C5"/>
    <w:rsid w:val="00FD726A"/>
    <w:rsid w:val="00FF050E"/>
    <w:rsid w:val="02B84719"/>
    <w:rsid w:val="02FA6253"/>
    <w:rsid w:val="032C3757"/>
    <w:rsid w:val="036603D4"/>
    <w:rsid w:val="04617F72"/>
    <w:rsid w:val="04C04927"/>
    <w:rsid w:val="05B11F2A"/>
    <w:rsid w:val="06400A4B"/>
    <w:rsid w:val="06E01EC3"/>
    <w:rsid w:val="09535250"/>
    <w:rsid w:val="09806D23"/>
    <w:rsid w:val="0B156FC6"/>
    <w:rsid w:val="0B256D46"/>
    <w:rsid w:val="0BB74A17"/>
    <w:rsid w:val="0C1821A1"/>
    <w:rsid w:val="0C5F0639"/>
    <w:rsid w:val="0C85106D"/>
    <w:rsid w:val="0D66233C"/>
    <w:rsid w:val="0D8B1FB3"/>
    <w:rsid w:val="0F6442AD"/>
    <w:rsid w:val="0FDA7F53"/>
    <w:rsid w:val="108219C2"/>
    <w:rsid w:val="11705116"/>
    <w:rsid w:val="15110FDA"/>
    <w:rsid w:val="155A19C5"/>
    <w:rsid w:val="17B20018"/>
    <w:rsid w:val="18DB38B5"/>
    <w:rsid w:val="1A120A39"/>
    <w:rsid w:val="1AD215C7"/>
    <w:rsid w:val="1B2C7B1C"/>
    <w:rsid w:val="1E295883"/>
    <w:rsid w:val="1E565434"/>
    <w:rsid w:val="1E90527F"/>
    <w:rsid w:val="21747ECE"/>
    <w:rsid w:val="22017E7F"/>
    <w:rsid w:val="23544896"/>
    <w:rsid w:val="235E7C88"/>
    <w:rsid w:val="246B6135"/>
    <w:rsid w:val="24F00010"/>
    <w:rsid w:val="24FE116D"/>
    <w:rsid w:val="26E4625C"/>
    <w:rsid w:val="27B53290"/>
    <w:rsid w:val="28A46FFC"/>
    <w:rsid w:val="2907618E"/>
    <w:rsid w:val="29A06FDB"/>
    <w:rsid w:val="2A134B34"/>
    <w:rsid w:val="2A712F0F"/>
    <w:rsid w:val="2B2E2752"/>
    <w:rsid w:val="2B9022F9"/>
    <w:rsid w:val="2BFC024F"/>
    <w:rsid w:val="2C9B1E1D"/>
    <w:rsid w:val="2F4B0E69"/>
    <w:rsid w:val="30D16CC5"/>
    <w:rsid w:val="31C028B0"/>
    <w:rsid w:val="37476F8A"/>
    <w:rsid w:val="38610411"/>
    <w:rsid w:val="38AA56C2"/>
    <w:rsid w:val="38E10519"/>
    <w:rsid w:val="39827C37"/>
    <w:rsid w:val="3C125F9B"/>
    <w:rsid w:val="3C1959EB"/>
    <w:rsid w:val="3D2F613A"/>
    <w:rsid w:val="3E1444F6"/>
    <w:rsid w:val="3F3B2173"/>
    <w:rsid w:val="40715AC8"/>
    <w:rsid w:val="40B67F76"/>
    <w:rsid w:val="415E2F32"/>
    <w:rsid w:val="41E277AB"/>
    <w:rsid w:val="429A35A3"/>
    <w:rsid w:val="435C1130"/>
    <w:rsid w:val="442828E9"/>
    <w:rsid w:val="49BA3960"/>
    <w:rsid w:val="4A0F666A"/>
    <w:rsid w:val="4B4B30DE"/>
    <w:rsid w:val="4BFA763C"/>
    <w:rsid w:val="4C4035AE"/>
    <w:rsid w:val="4DDC3C53"/>
    <w:rsid w:val="4F7F35B2"/>
    <w:rsid w:val="52B24340"/>
    <w:rsid w:val="53B75E8C"/>
    <w:rsid w:val="56311B54"/>
    <w:rsid w:val="5949498B"/>
    <w:rsid w:val="59A85EFD"/>
    <w:rsid w:val="5D86343D"/>
    <w:rsid w:val="5DB12D14"/>
    <w:rsid w:val="5EA12B9A"/>
    <w:rsid w:val="5EC928D3"/>
    <w:rsid w:val="5F425B73"/>
    <w:rsid w:val="5F5C48D2"/>
    <w:rsid w:val="5F6A1134"/>
    <w:rsid w:val="5F8E191F"/>
    <w:rsid w:val="5F9641CD"/>
    <w:rsid w:val="628D2779"/>
    <w:rsid w:val="628D5F03"/>
    <w:rsid w:val="64F43146"/>
    <w:rsid w:val="654A5507"/>
    <w:rsid w:val="658C10F3"/>
    <w:rsid w:val="65CA104B"/>
    <w:rsid w:val="66356363"/>
    <w:rsid w:val="66972AAF"/>
    <w:rsid w:val="677E4DCB"/>
    <w:rsid w:val="68BB08C9"/>
    <w:rsid w:val="6A4140D3"/>
    <w:rsid w:val="6A5D69B2"/>
    <w:rsid w:val="6A7021FA"/>
    <w:rsid w:val="6C093A05"/>
    <w:rsid w:val="6C7A73B7"/>
    <w:rsid w:val="6D050DC0"/>
    <w:rsid w:val="6DA65F1D"/>
    <w:rsid w:val="6E031C73"/>
    <w:rsid w:val="6E116960"/>
    <w:rsid w:val="6E6B6A6E"/>
    <w:rsid w:val="6EE8797B"/>
    <w:rsid w:val="6FF46E59"/>
    <w:rsid w:val="7051627C"/>
    <w:rsid w:val="70CA3520"/>
    <w:rsid w:val="73E237A4"/>
    <w:rsid w:val="73E9008B"/>
    <w:rsid w:val="76C24502"/>
    <w:rsid w:val="772935FE"/>
    <w:rsid w:val="7A0E74A5"/>
    <w:rsid w:val="7A42130E"/>
    <w:rsid w:val="7B53369F"/>
    <w:rsid w:val="7B6F7A78"/>
    <w:rsid w:val="7B760BF0"/>
    <w:rsid w:val="7B8757FC"/>
    <w:rsid w:val="7C046C2A"/>
    <w:rsid w:val="7C483276"/>
    <w:rsid w:val="7C4D08BC"/>
    <w:rsid w:val="7DAC6B0C"/>
    <w:rsid w:val="7DAD4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rFonts w:ascii="Calibri" w:hAnsi="Calibri"/>
      <w:b/>
      <w:bCs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5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FF0000"/>
      <w:sz w:val="28"/>
    </w:rPr>
  </w:style>
  <w:style w:type="paragraph" w:styleId="6">
    <w:name w:val="Plain Text"/>
    <w:basedOn w:val="1"/>
    <w:qFormat/>
    <w:uiPriority w:val="0"/>
    <w:rPr>
      <w:rFonts w:ascii="宋体" w:hAnsi="Courier New"/>
      <w:sz w:val="24"/>
    </w:rPr>
  </w:style>
  <w:style w:type="paragraph" w:styleId="7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5"/>
    <w:qFormat/>
    <w:uiPriority w:val="0"/>
    <w:pPr>
      <w:ind w:firstLine="420"/>
      <w:jc w:val="left"/>
    </w:pPr>
    <w:rPr>
      <w:rFonts w:eastAsia="仿宋_GB2312"/>
      <w:color w:val="000000"/>
    </w:rPr>
  </w:style>
  <w:style w:type="character" w:customStyle="1" w:styleId="13">
    <w:name w:val="页眉 字符"/>
    <w:basedOn w:val="12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7">
    <w:name w:val="_Style 2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lang w:eastAsia="en-US"/>
    </w:rPr>
  </w:style>
  <w:style w:type="character" w:customStyle="1" w:styleId="18">
    <w:name w:val="info-content-text"/>
    <w:qFormat/>
    <w:uiPriority w:val="0"/>
  </w:style>
  <w:style w:type="character" w:customStyle="1" w:styleId="19">
    <w:name w:val="标题 1 字符"/>
    <w:basedOn w:val="12"/>
    <w:link w:val="3"/>
    <w:qFormat/>
    <w:uiPriority w:val="0"/>
    <w:rPr>
      <w:b/>
      <w:bCs/>
      <w:kern w:val="44"/>
      <w:sz w:val="44"/>
      <w:szCs w:val="44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2">
    <w:name w:val="默认段落字体 Para Char Char Char1 Char"/>
    <w:basedOn w:val="1"/>
    <w:next w:val="1"/>
    <w:qFormat/>
    <w:uiPriority w:val="0"/>
    <w:pPr>
      <w:spacing w:line="240" w:lineRule="atLeast"/>
      <w:ind w:left="420" w:firstLine="420"/>
      <w:jc w:val="left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D6241C-A5A8-4A56-8A1B-A9D58B9DB2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600</Words>
  <Characters>3423</Characters>
  <Lines>28</Lines>
  <Paragraphs>8</Paragraphs>
  <TotalTime>2</TotalTime>
  <ScaleCrop>false</ScaleCrop>
  <LinksUpToDate>false</LinksUpToDate>
  <CharactersWithSpaces>4015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春华秋实</cp:lastModifiedBy>
  <dcterms:modified xsi:type="dcterms:W3CDTF">2021-09-21T23:19:16Z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