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楷体" w:hAnsi="楷体" w:eastAsia="楷体" w:cs="楷体"/>
          <w:bCs/>
          <w:color w:val="000000"/>
          <w:sz w:val="36"/>
          <w:szCs w:val="36"/>
        </w:rPr>
      </w:pPr>
      <w:r>
        <w:rPr>
          <w:rFonts w:hint="eastAsia" w:ascii="楷体" w:hAnsi="楷体" w:eastAsia="楷体" w:cs="楷体"/>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jc w:val="center"/>
              <w:rPr>
                <w:rFonts w:hint="eastAsia" w:ascii="楷体" w:hAnsi="楷体" w:eastAsia="楷体" w:cs="楷体"/>
                <w:sz w:val="24"/>
                <w:szCs w:val="24"/>
              </w:rPr>
            </w:pPr>
            <w:r>
              <w:rPr>
                <w:rFonts w:hint="eastAsia" w:ascii="楷体" w:hAnsi="楷体" w:eastAsia="楷体" w:cs="楷体"/>
                <w:sz w:val="24"/>
                <w:szCs w:val="24"/>
              </w:rPr>
              <w:t>过程与活动、</w:t>
            </w:r>
          </w:p>
          <w:p>
            <w:pPr>
              <w:jc w:val="center"/>
              <w:rPr>
                <w:rFonts w:hint="eastAsia" w:ascii="楷体" w:hAnsi="楷体" w:eastAsia="楷体" w:cs="楷体"/>
                <w:sz w:val="24"/>
                <w:szCs w:val="24"/>
              </w:rPr>
            </w:pPr>
            <w:r>
              <w:rPr>
                <w:rFonts w:hint="eastAsia" w:ascii="楷体" w:hAnsi="楷体" w:eastAsia="楷体" w:cs="楷体"/>
                <w:sz w:val="24"/>
                <w:szCs w:val="24"/>
              </w:rPr>
              <w:t>抽样计划</w:t>
            </w:r>
          </w:p>
        </w:tc>
        <w:tc>
          <w:tcPr>
            <w:tcW w:w="1311"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涉及条款</w:t>
            </w:r>
          </w:p>
        </w:tc>
        <w:tc>
          <w:tcPr>
            <w:tcW w:w="10004"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受审核部门：管理层  主管领导：</w:t>
            </w:r>
            <w:r>
              <w:rPr>
                <w:rFonts w:hint="eastAsia" w:ascii="楷体" w:hAnsi="楷体" w:eastAsia="楷体" w:cs="楷体"/>
                <w:sz w:val="24"/>
                <w:szCs w:val="24"/>
                <w:lang w:val="en-US" w:eastAsia="zh-CN"/>
              </w:rPr>
              <w:t>赖姬妙</w:t>
            </w:r>
            <w:r>
              <w:rPr>
                <w:rFonts w:hint="eastAsia" w:ascii="楷体" w:hAnsi="楷体" w:eastAsia="楷体" w:cs="楷体"/>
                <w:sz w:val="24"/>
              </w:rPr>
              <w:t xml:space="preserve"> </w:t>
            </w:r>
            <w:r>
              <w:rPr>
                <w:rFonts w:hint="eastAsia" w:ascii="楷体" w:hAnsi="楷体" w:eastAsia="楷体" w:cs="楷体"/>
                <w:sz w:val="24"/>
                <w:szCs w:val="24"/>
              </w:rPr>
              <w:t xml:space="preserve">   陪同人员：</w:t>
            </w:r>
            <w:r>
              <w:rPr>
                <w:rFonts w:hint="eastAsia" w:ascii="楷体" w:hAnsi="楷体" w:eastAsia="楷体" w:cs="楷体"/>
                <w:sz w:val="24"/>
                <w:szCs w:val="24"/>
                <w:lang w:val="en-US" w:eastAsia="zh-CN"/>
              </w:rPr>
              <w:t>屠菊蕾</w:t>
            </w:r>
          </w:p>
        </w:tc>
        <w:tc>
          <w:tcPr>
            <w:tcW w:w="1585"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hint="eastAsia" w:ascii="楷体" w:hAnsi="楷体" w:eastAsia="楷体" w:cs="楷体"/>
                <w:sz w:val="24"/>
                <w:szCs w:val="24"/>
              </w:rPr>
            </w:pPr>
          </w:p>
        </w:tc>
        <w:tc>
          <w:tcPr>
            <w:tcW w:w="1311" w:type="dxa"/>
            <w:vMerge w:val="continue"/>
            <w:vAlign w:val="center"/>
          </w:tcPr>
          <w:p>
            <w:pPr>
              <w:rPr>
                <w:rFonts w:hint="eastAsia" w:ascii="楷体" w:hAnsi="楷体" w:eastAsia="楷体" w:cs="楷体"/>
                <w:sz w:val="24"/>
                <w:szCs w:val="24"/>
              </w:rPr>
            </w:pPr>
          </w:p>
        </w:tc>
        <w:tc>
          <w:tcPr>
            <w:tcW w:w="10004" w:type="dxa"/>
            <w:vAlign w:val="center"/>
          </w:tcPr>
          <w:p>
            <w:pPr>
              <w:spacing w:before="120"/>
              <w:rPr>
                <w:rFonts w:hint="default" w:ascii="楷体" w:hAnsi="楷体" w:eastAsia="楷体" w:cs="楷体"/>
                <w:sz w:val="24"/>
                <w:szCs w:val="24"/>
                <w:lang w:val="en-US" w:eastAsia="zh-CN"/>
              </w:rPr>
            </w:pPr>
            <w:r>
              <w:rPr>
                <w:rFonts w:hint="eastAsia" w:ascii="楷体" w:hAnsi="楷体" w:eastAsia="楷体" w:cs="楷体"/>
                <w:sz w:val="24"/>
                <w:szCs w:val="24"/>
              </w:rPr>
              <w:t>审核员：</w:t>
            </w:r>
            <w:r>
              <w:rPr>
                <w:rFonts w:hint="eastAsia" w:ascii="楷体" w:hAnsi="楷体" w:eastAsia="楷体" w:cs="楷体"/>
                <w:sz w:val="24"/>
                <w:szCs w:val="24"/>
                <w:lang w:val="en-US" w:eastAsia="zh-CN"/>
              </w:rPr>
              <w:t>温红玲、丁旭卫</w:t>
            </w:r>
            <w:r>
              <w:rPr>
                <w:rFonts w:hint="eastAsia" w:ascii="楷体" w:hAnsi="楷体" w:eastAsia="楷体" w:cs="楷体"/>
                <w:sz w:val="24"/>
                <w:szCs w:val="24"/>
              </w:rPr>
              <w:t xml:space="preserve">   审核时间：20</w:t>
            </w:r>
            <w:r>
              <w:rPr>
                <w:rFonts w:hint="eastAsia" w:ascii="楷体" w:hAnsi="楷体" w:eastAsia="楷体" w:cs="楷体"/>
                <w:sz w:val="24"/>
                <w:szCs w:val="24"/>
                <w:lang w:val="en-US" w:eastAsia="zh-CN"/>
              </w:rPr>
              <w:t>21.9.23</w:t>
            </w:r>
          </w:p>
        </w:tc>
        <w:tc>
          <w:tcPr>
            <w:tcW w:w="1585"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rPr>
                <w:rFonts w:hint="eastAsia" w:ascii="楷体" w:hAnsi="楷体" w:eastAsia="楷体" w:cs="楷体"/>
                <w:sz w:val="24"/>
                <w:szCs w:val="24"/>
              </w:rPr>
            </w:pPr>
          </w:p>
        </w:tc>
        <w:tc>
          <w:tcPr>
            <w:tcW w:w="1311" w:type="dxa"/>
            <w:vMerge w:val="continue"/>
            <w:vAlign w:val="center"/>
          </w:tcPr>
          <w:p>
            <w:pPr>
              <w:rPr>
                <w:rFonts w:hint="eastAsia" w:ascii="楷体" w:hAnsi="楷体" w:eastAsia="楷体" w:cs="楷体"/>
                <w:sz w:val="24"/>
                <w:szCs w:val="24"/>
              </w:rPr>
            </w:pPr>
          </w:p>
        </w:tc>
        <w:tc>
          <w:tcPr>
            <w:tcW w:w="10004" w:type="dxa"/>
            <w:vAlign w:val="center"/>
          </w:tcPr>
          <w:p>
            <w:pPr>
              <w:adjustRightInd w:val="0"/>
              <w:textAlignment w:val="baseline"/>
              <w:rPr>
                <w:rFonts w:ascii="宋体" w:hAnsi="宋体"/>
                <w:kern w:val="0"/>
                <w:sz w:val="21"/>
                <w:szCs w:val="21"/>
              </w:rPr>
            </w:pPr>
            <w:r>
              <w:rPr>
                <w:rFonts w:hint="eastAsia" w:ascii="楷体" w:hAnsi="楷体" w:eastAsia="楷体" w:cs="楷体"/>
                <w:sz w:val="24"/>
                <w:szCs w:val="24"/>
              </w:rPr>
              <w:t>审核条款：</w:t>
            </w:r>
            <w:r>
              <w:rPr>
                <w:rFonts w:hint="eastAsia" w:ascii="楷体" w:hAnsi="楷体" w:eastAsia="楷体" w:cs="楷体"/>
                <w:sz w:val="24"/>
                <w:szCs w:val="24"/>
                <w:lang w:val="en-US" w:eastAsia="zh-CN"/>
              </w:rPr>
              <w:t>E</w:t>
            </w:r>
            <w:r>
              <w:rPr>
                <w:rFonts w:hint="eastAsia" w:ascii="宋体" w:hAnsi="宋体"/>
                <w:kern w:val="0"/>
                <w:sz w:val="21"/>
                <w:szCs w:val="21"/>
              </w:rPr>
              <w:t>4.1理解组织及其环境、4.2理解相关方的需求和期望、4.3 确定管理体系的范围、4.4环境管理体系及其过程、5.1领导作用和承诺、5.2环境方针、5.3组织的岗位、职责和权限、6.1应对风险和机遇的措施、6.2环境目标及其实现的策划、7.1资源、7.4信息交流、9.3管理评审、10.1改进、10.3持续改进，</w:t>
            </w:r>
          </w:p>
          <w:p>
            <w:pPr>
              <w:rPr>
                <w:rFonts w:hint="eastAsia" w:ascii="楷体" w:hAnsi="楷体" w:eastAsia="楷体" w:cs="楷体"/>
                <w:sz w:val="24"/>
                <w:szCs w:val="24"/>
              </w:rPr>
            </w:pPr>
            <w:r>
              <w:rPr>
                <w:rFonts w:hint="eastAsia" w:ascii="宋体" w:hAnsi="宋体"/>
                <w:kern w:val="0"/>
                <w:sz w:val="21"/>
                <w:szCs w:val="21"/>
              </w:rPr>
              <w:t>国家/地方监督抽查情况；顾客满意、相关方投诉及处理情况；验证企业相关资质证明的有效性，一阶段问题验证；</w:t>
            </w:r>
          </w:p>
        </w:tc>
        <w:tc>
          <w:tcPr>
            <w:tcW w:w="1585"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rPr>
                <w:rFonts w:hint="eastAsia" w:ascii="楷体" w:hAnsi="楷体" w:eastAsia="楷体" w:cs="楷体"/>
                <w:b/>
                <w:szCs w:val="24"/>
              </w:rPr>
            </w:pPr>
            <w:r>
              <w:rPr>
                <w:rFonts w:hint="eastAsia" w:ascii="楷体" w:hAnsi="楷体" w:eastAsia="楷体" w:cs="楷体"/>
                <w:szCs w:val="24"/>
              </w:rPr>
              <w:t>企业基本信息</w:t>
            </w:r>
          </w:p>
        </w:tc>
        <w:tc>
          <w:tcPr>
            <w:tcW w:w="1311" w:type="dxa"/>
            <w:vAlign w:val="center"/>
          </w:tcPr>
          <w:p>
            <w:pPr>
              <w:rPr>
                <w:rFonts w:hint="eastAsia" w:ascii="楷体" w:hAnsi="楷体" w:eastAsia="楷体" w:cs="楷体"/>
                <w:b/>
                <w:szCs w:val="24"/>
              </w:rPr>
            </w:pPr>
          </w:p>
        </w:tc>
        <w:tc>
          <w:tcPr>
            <w:tcW w:w="10004" w:type="dxa"/>
            <w:vAlign w:val="center"/>
          </w:tcPr>
          <w:p>
            <w:pPr>
              <w:spacing w:line="360" w:lineRule="auto"/>
              <w:ind w:firstLine="420" w:firstLineChars="200"/>
              <w:rPr>
                <w:rFonts w:hint="eastAsia" w:ascii="楷体" w:hAnsi="楷体" w:eastAsia="楷体" w:cs="楷体"/>
                <w:szCs w:val="24"/>
                <w:lang w:val="en-US" w:eastAsia="zh-CN"/>
              </w:rPr>
            </w:pPr>
            <w:r>
              <w:rPr>
                <w:rFonts w:hint="eastAsia" w:ascii="楷体" w:hAnsi="楷体" w:eastAsia="楷体" w:cs="楷体"/>
                <w:szCs w:val="24"/>
              </w:rPr>
              <w:t>面谈人员：</w:t>
            </w:r>
            <w:r>
              <w:rPr>
                <w:rFonts w:hint="eastAsia" w:ascii="楷体" w:hAnsi="楷体" w:eastAsia="楷体" w:cs="楷体"/>
                <w:sz w:val="21"/>
                <w:szCs w:val="21"/>
              </w:rPr>
              <w:t>最管理者</w:t>
            </w:r>
            <w:r>
              <w:rPr>
                <w:rFonts w:hint="eastAsia" w:ascii="楷体" w:hAnsi="楷体" w:eastAsia="楷体" w:cs="楷体"/>
                <w:sz w:val="21"/>
                <w:szCs w:val="21"/>
                <w:lang w:val="en-US" w:eastAsia="zh-CN"/>
              </w:rPr>
              <w:t>赖姬妙</w:t>
            </w:r>
            <w:r>
              <w:rPr>
                <w:rFonts w:hint="eastAsia" w:ascii="楷体" w:hAnsi="楷体" w:eastAsia="楷体" w:cs="楷体"/>
                <w:sz w:val="21"/>
                <w:szCs w:val="21"/>
              </w:rPr>
              <w:t>、管代</w:t>
            </w:r>
            <w:r>
              <w:rPr>
                <w:rFonts w:hint="eastAsia" w:ascii="楷体" w:hAnsi="楷体" w:eastAsia="楷体" w:cs="楷体"/>
                <w:sz w:val="21"/>
                <w:szCs w:val="21"/>
                <w:lang w:val="en-US" w:eastAsia="zh-CN"/>
              </w:rPr>
              <w:t>屠菊蕾</w:t>
            </w:r>
          </w:p>
          <w:p>
            <w:pPr>
              <w:spacing w:line="360" w:lineRule="auto"/>
              <w:ind w:firstLine="420" w:firstLineChars="200"/>
              <w:rPr>
                <w:rFonts w:hint="eastAsia" w:ascii="楷体" w:hAnsi="楷体" w:eastAsia="楷体" w:cs="楷体"/>
                <w:spacing w:val="20"/>
                <w:sz w:val="21"/>
                <w:szCs w:val="21"/>
                <w:lang w:val="de-DE"/>
              </w:rPr>
            </w:pPr>
            <w:r>
              <w:rPr>
                <w:rFonts w:hint="eastAsia" w:ascii="楷体" w:hAnsi="楷体" w:eastAsia="楷体" w:cs="楷体"/>
                <w:szCs w:val="24"/>
              </w:rPr>
              <w:t>公司成立于20</w:t>
            </w:r>
            <w:r>
              <w:rPr>
                <w:rFonts w:hint="eastAsia" w:ascii="楷体" w:hAnsi="楷体" w:eastAsia="楷体" w:cs="楷体"/>
                <w:szCs w:val="24"/>
                <w:lang w:val="en-US" w:eastAsia="zh-CN"/>
              </w:rPr>
              <w:t>16</w:t>
            </w:r>
            <w:r>
              <w:rPr>
                <w:rFonts w:hint="eastAsia" w:ascii="楷体" w:hAnsi="楷体" w:eastAsia="楷体" w:cs="楷体"/>
                <w:szCs w:val="24"/>
              </w:rPr>
              <w:t>年</w:t>
            </w:r>
            <w:r>
              <w:rPr>
                <w:rFonts w:hint="eastAsia" w:ascii="楷体" w:hAnsi="楷体" w:eastAsia="楷体" w:cs="楷体"/>
                <w:szCs w:val="24"/>
                <w:lang w:val="en-US" w:eastAsia="zh-CN"/>
              </w:rPr>
              <w:t>11</w:t>
            </w:r>
            <w:r>
              <w:rPr>
                <w:rFonts w:hint="eastAsia" w:ascii="楷体" w:hAnsi="楷体" w:eastAsia="楷体" w:cs="楷体"/>
                <w:szCs w:val="24"/>
              </w:rPr>
              <w:t>月</w:t>
            </w:r>
            <w:r>
              <w:rPr>
                <w:rFonts w:hint="eastAsia" w:ascii="楷体" w:hAnsi="楷体" w:eastAsia="楷体" w:cs="楷体"/>
                <w:szCs w:val="24"/>
                <w:lang w:val="en-US" w:eastAsia="zh-CN"/>
              </w:rPr>
              <w:t>15日</w:t>
            </w:r>
            <w:r>
              <w:rPr>
                <w:rFonts w:hint="eastAsia" w:ascii="楷体" w:hAnsi="楷体" w:eastAsia="楷体" w:cs="楷体"/>
                <w:szCs w:val="24"/>
              </w:rPr>
              <w:t>，法人代表</w:t>
            </w:r>
            <w:r>
              <w:rPr>
                <w:rFonts w:hint="eastAsia" w:ascii="楷体" w:hAnsi="楷体" w:eastAsia="楷体" w:cs="楷体"/>
                <w:sz w:val="21"/>
                <w:szCs w:val="21"/>
                <w:lang w:val="en-US" w:eastAsia="zh-CN"/>
              </w:rPr>
              <w:t>赖姬妙</w:t>
            </w:r>
            <w:r>
              <w:rPr>
                <w:rFonts w:hint="eastAsia" w:ascii="楷体" w:hAnsi="楷体" w:eastAsia="楷体" w:cs="楷体"/>
                <w:szCs w:val="24"/>
              </w:rPr>
              <w:t>，注册地址：</w:t>
            </w:r>
            <w:bookmarkStart w:id="0" w:name="注册地址"/>
            <w:r>
              <w:rPr>
                <w:rFonts w:hint="eastAsia" w:ascii="楷体" w:hAnsi="楷体" w:eastAsia="楷体" w:cs="楷体"/>
                <w:sz w:val="21"/>
                <w:szCs w:val="21"/>
              </w:rPr>
              <w:t>桐乡市崇福镇鹏辉大道450号3楼</w:t>
            </w:r>
            <w:bookmarkEnd w:id="0"/>
            <w:r>
              <w:rPr>
                <w:rFonts w:hint="eastAsia" w:ascii="楷体" w:hAnsi="楷体" w:eastAsia="楷体" w:cs="楷体"/>
                <w:color w:val="000000"/>
                <w:szCs w:val="21"/>
              </w:rPr>
              <w:t>。</w:t>
            </w:r>
            <w:r>
              <w:rPr>
                <w:rFonts w:hint="eastAsia" w:ascii="楷体" w:hAnsi="楷体" w:eastAsia="楷体" w:cs="楷体"/>
                <w:spacing w:val="20"/>
                <w:szCs w:val="21"/>
                <w:lang w:val="de-DE"/>
              </w:rPr>
              <w:t>经营范围</w:t>
            </w:r>
            <w:r>
              <w:rPr>
                <w:rFonts w:hint="eastAsia" w:ascii="楷体" w:hAnsi="楷体" w:eastAsia="楷体" w:cs="楷体"/>
                <w:spacing w:val="20"/>
                <w:szCs w:val="21"/>
                <w:lang w:val="en-US" w:eastAsia="zh-CN"/>
              </w:rPr>
              <w:t>主要</w:t>
            </w:r>
            <w:r>
              <w:rPr>
                <w:rFonts w:hint="eastAsia" w:ascii="楷体" w:hAnsi="楷体" w:eastAsia="楷体" w:cs="楷体"/>
                <w:sz w:val="21"/>
                <w:szCs w:val="21"/>
              </w:rPr>
              <w:t>以</w:t>
            </w:r>
            <w:r>
              <w:rPr>
                <w:rFonts w:hint="eastAsia" w:ascii="楷体" w:hAnsi="楷体" w:eastAsia="楷体" w:cs="楷体"/>
                <w:sz w:val="21"/>
                <w:szCs w:val="21"/>
                <w:lang w:val="en-US" w:eastAsia="zh-CN"/>
              </w:rPr>
              <w:t>木制品、木质乐器制造、销售等</w:t>
            </w:r>
            <w:r>
              <w:rPr>
                <w:rFonts w:hint="eastAsia" w:ascii="楷体" w:hAnsi="楷体" w:eastAsia="楷体" w:cs="楷体"/>
                <w:sz w:val="21"/>
                <w:szCs w:val="21"/>
              </w:rPr>
              <w:t>，</w:t>
            </w:r>
          </w:p>
          <w:p>
            <w:pPr>
              <w:spacing w:line="360" w:lineRule="auto"/>
              <w:ind w:firstLine="500" w:firstLineChars="200"/>
              <w:rPr>
                <w:rFonts w:hint="eastAsia" w:ascii="楷体" w:hAnsi="楷体" w:eastAsia="楷体" w:cs="楷体"/>
                <w:szCs w:val="24"/>
              </w:rPr>
            </w:pPr>
            <w:r>
              <w:rPr>
                <w:rFonts w:hint="eastAsia" w:ascii="楷体" w:hAnsi="楷体" w:eastAsia="楷体" w:cs="楷体"/>
                <w:spacing w:val="20"/>
                <w:szCs w:val="21"/>
                <w:lang w:val="de-DE"/>
              </w:rPr>
              <w:t>经营范围包括了认证范围内产品。</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rPr>
                <w:rFonts w:hint="eastAsia" w:ascii="楷体" w:hAnsi="楷体" w:eastAsia="楷体" w:cs="楷体"/>
                <w:b/>
                <w:szCs w:val="24"/>
              </w:rPr>
            </w:pPr>
            <w:r>
              <w:rPr>
                <w:rFonts w:hint="eastAsia" w:ascii="楷体" w:hAnsi="楷体" w:eastAsia="楷体" w:cs="楷体"/>
                <w:szCs w:val="24"/>
              </w:rPr>
              <w:t>领导作用和承诺、组织的岗位职责和权限</w:t>
            </w:r>
          </w:p>
        </w:tc>
        <w:tc>
          <w:tcPr>
            <w:tcW w:w="1311" w:type="dxa"/>
            <w:vAlign w:val="center"/>
          </w:tcPr>
          <w:p>
            <w:pPr>
              <w:rPr>
                <w:rFonts w:hint="eastAsia" w:ascii="楷体" w:hAnsi="楷体" w:eastAsia="楷体" w:cs="楷体"/>
                <w:szCs w:val="24"/>
              </w:rPr>
            </w:pPr>
            <w:r>
              <w:rPr>
                <w:rFonts w:hint="eastAsia" w:ascii="楷体" w:hAnsi="楷体" w:eastAsia="楷体" w:cs="楷体"/>
                <w:szCs w:val="24"/>
              </w:rPr>
              <w:t>E：5.1，</w:t>
            </w:r>
          </w:p>
          <w:p>
            <w:pPr>
              <w:rPr>
                <w:rFonts w:hint="eastAsia" w:ascii="楷体" w:hAnsi="楷体" w:eastAsia="楷体" w:cs="楷体"/>
                <w:b/>
                <w:szCs w:val="24"/>
              </w:rPr>
            </w:pPr>
            <w:r>
              <w:rPr>
                <w:rFonts w:hint="eastAsia" w:ascii="楷体" w:hAnsi="楷体" w:eastAsia="楷体" w:cs="楷体"/>
                <w:szCs w:val="24"/>
              </w:rPr>
              <w:t xml:space="preserve">5.3  </w:t>
            </w:r>
          </w:p>
        </w:tc>
        <w:tc>
          <w:tcPr>
            <w:tcW w:w="10004" w:type="dxa"/>
            <w:vAlign w:val="center"/>
          </w:tcPr>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据</w:t>
            </w:r>
            <w:r>
              <w:rPr>
                <w:rFonts w:hint="eastAsia" w:ascii="楷体" w:hAnsi="楷体" w:eastAsia="楷体" w:cs="楷体"/>
                <w:szCs w:val="21"/>
              </w:rPr>
              <w:t>管代</w:t>
            </w:r>
            <w:r>
              <w:rPr>
                <w:rFonts w:hint="eastAsia" w:ascii="楷体" w:hAnsi="楷体" w:eastAsia="楷体" w:cs="楷体"/>
                <w:sz w:val="21"/>
                <w:szCs w:val="21"/>
                <w:lang w:val="en-US" w:eastAsia="zh-CN"/>
              </w:rPr>
              <w:t>屠菊蕾</w:t>
            </w:r>
            <w:r>
              <w:rPr>
                <w:rFonts w:hint="eastAsia" w:ascii="楷体" w:hAnsi="楷体" w:eastAsia="楷体" w:cs="楷体"/>
                <w:szCs w:val="24"/>
              </w:rPr>
              <w:t>介绍，公司管理体系运行已</w:t>
            </w:r>
            <w:r>
              <w:rPr>
                <w:rFonts w:hint="eastAsia" w:ascii="楷体" w:hAnsi="楷体" w:eastAsia="楷体" w:cs="楷体"/>
                <w:szCs w:val="24"/>
                <w:lang w:val="en-US" w:eastAsia="zh-CN"/>
              </w:rPr>
              <w:t>经1年多</w:t>
            </w:r>
            <w:r>
              <w:rPr>
                <w:rFonts w:hint="eastAsia" w:ascii="楷体" w:hAnsi="楷体" w:eastAsia="楷体" w:cs="楷体"/>
                <w:szCs w:val="24"/>
              </w:rPr>
              <w:t>。对部门及其职责进行了规定，设有</w:t>
            </w:r>
            <w:r>
              <w:rPr>
                <w:rFonts w:hint="eastAsia" w:ascii="楷体" w:hAnsi="楷体" w:eastAsia="楷体" w:cs="楷体"/>
                <w:szCs w:val="24"/>
                <w:lang w:val="en-US" w:eastAsia="zh-CN"/>
              </w:rPr>
              <w:t>综合部、质检部、采购部、业务部、财务部</w:t>
            </w:r>
            <w:r>
              <w:rPr>
                <w:rFonts w:hint="eastAsia" w:ascii="楷体" w:hAnsi="楷体" w:eastAsia="楷体" w:cs="楷体"/>
                <w:szCs w:val="24"/>
              </w:rPr>
              <w:t>、生产部，编制了岗位职责汇编，以文件上发的形式沟通各部门的职责及各部门之间工作的联系。</w:t>
            </w:r>
          </w:p>
          <w:p>
            <w:pPr>
              <w:spacing w:line="360" w:lineRule="auto"/>
              <w:ind w:firstLine="420" w:firstLineChars="200"/>
              <w:rPr>
                <w:rFonts w:hint="eastAsia" w:ascii="楷体" w:hAnsi="楷体" w:eastAsia="楷体" w:cs="楷体"/>
                <w:color w:val="000000"/>
                <w:szCs w:val="24"/>
              </w:rPr>
            </w:pPr>
            <w:r>
              <w:rPr>
                <w:rFonts w:hint="eastAsia" w:ascii="楷体" w:hAnsi="楷体" w:eastAsia="楷体" w:cs="楷体"/>
                <w:szCs w:val="24"/>
              </w:rPr>
              <w:t>总经理</w:t>
            </w:r>
            <w:r>
              <w:rPr>
                <w:rFonts w:hint="eastAsia" w:ascii="楷体" w:hAnsi="楷体" w:eastAsia="楷体" w:cs="楷体"/>
                <w:sz w:val="21"/>
                <w:szCs w:val="21"/>
                <w:lang w:val="en-US" w:eastAsia="zh-CN"/>
              </w:rPr>
              <w:t>赖姬妙</w:t>
            </w:r>
            <w:r>
              <w:rPr>
                <w:rFonts w:hint="eastAsia" w:ascii="楷体" w:hAnsi="楷体" w:eastAsia="楷体" w:cs="楷体"/>
                <w:szCs w:val="24"/>
              </w:rPr>
              <w:t>，主要负责公司全面工作，</w:t>
            </w:r>
            <w:r>
              <w:rPr>
                <w:rFonts w:hint="eastAsia" w:ascii="楷体" w:hAnsi="楷体" w:eastAsia="楷体" w:cs="楷体"/>
                <w:color w:val="000000"/>
                <w:szCs w:val="24"/>
              </w:rPr>
              <w:t>日常主要侧重于公司财务及市场工作，根据体系的要求，负责组织制定方针、目标，管理评审等工作；</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管代</w:t>
            </w:r>
            <w:r>
              <w:rPr>
                <w:rFonts w:hint="eastAsia" w:ascii="楷体" w:hAnsi="楷体" w:eastAsia="楷体" w:cs="楷体"/>
                <w:sz w:val="21"/>
                <w:szCs w:val="21"/>
                <w:lang w:val="en-US" w:eastAsia="zh-CN"/>
              </w:rPr>
              <w:t>屠菊蕾</w:t>
            </w:r>
            <w:r>
              <w:rPr>
                <w:rFonts w:hint="eastAsia" w:ascii="楷体" w:hAnsi="楷体" w:eastAsia="楷体" w:cs="楷体"/>
                <w:szCs w:val="24"/>
              </w:rPr>
              <w:t>，主要负责公司行政及体系工作。</w:t>
            </w:r>
          </w:p>
          <w:p>
            <w:pPr>
              <w:spacing w:line="360" w:lineRule="auto"/>
              <w:rPr>
                <w:rFonts w:hint="eastAsia" w:ascii="楷体" w:hAnsi="楷体" w:eastAsia="楷体" w:cs="楷体"/>
                <w:szCs w:val="24"/>
              </w:rPr>
            </w:pPr>
            <w:r>
              <w:rPr>
                <w:rFonts w:hint="eastAsia" w:ascii="楷体" w:hAnsi="楷体" w:eastAsia="楷体" w:cs="楷体"/>
                <w:szCs w:val="24"/>
              </w:rPr>
              <w:t>1、确保本公司</w:t>
            </w:r>
            <w:r>
              <w:rPr>
                <w:rFonts w:hint="eastAsia" w:ascii="楷体" w:hAnsi="楷体" w:eastAsia="楷体" w:cs="楷体"/>
                <w:szCs w:val="24"/>
                <w:lang w:val="en-US" w:eastAsia="zh-CN"/>
              </w:rPr>
              <w:t>环境</w:t>
            </w:r>
            <w:r>
              <w:rPr>
                <w:rFonts w:hint="eastAsia" w:ascii="楷体" w:hAnsi="楷体" w:eastAsia="楷体" w:cs="楷体"/>
                <w:szCs w:val="24"/>
              </w:rPr>
              <w:t>体系所需的过程得到建立、实施和保持；</w:t>
            </w:r>
          </w:p>
          <w:p>
            <w:pPr>
              <w:spacing w:line="360" w:lineRule="auto"/>
              <w:rPr>
                <w:rFonts w:hint="eastAsia" w:ascii="楷体" w:hAnsi="楷体" w:eastAsia="楷体" w:cs="楷体"/>
                <w:szCs w:val="24"/>
              </w:rPr>
            </w:pPr>
            <w:r>
              <w:rPr>
                <w:rFonts w:hint="eastAsia" w:ascii="楷体" w:hAnsi="楷体" w:eastAsia="楷体" w:cs="楷体"/>
                <w:szCs w:val="24"/>
              </w:rPr>
              <w:t>2、向总经理报告体系运行的业绩，包括改进的需求；</w:t>
            </w:r>
          </w:p>
          <w:p>
            <w:pPr>
              <w:spacing w:line="360" w:lineRule="auto"/>
              <w:rPr>
                <w:rFonts w:hint="eastAsia" w:ascii="楷体" w:hAnsi="楷体" w:eastAsia="楷体" w:cs="楷体"/>
                <w:szCs w:val="24"/>
              </w:rPr>
            </w:pPr>
            <w:r>
              <w:rPr>
                <w:rFonts w:hint="eastAsia" w:ascii="楷体" w:hAnsi="楷体" w:eastAsia="楷体" w:cs="楷体"/>
                <w:szCs w:val="24"/>
              </w:rPr>
              <w:t>3、在全公司范围内促进满足顾客要求意识、环境保护意识的形成和提高；就体系有关事宜对外联系。</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总经理主持建立了环境管理体系，对管理体系的运行和保持进行了适当的授权，提供了必需的资源，能履行其管理承诺。</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经交流总经理和管代熟悉管理体系的基本运行情况，比较重视体系建设。</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组织从20</w:t>
            </w:r>
            <w:r>
              <w:rPr>
                <w:rFonts w:hint="eastAsia" w:ascii="楷体" w:hAnsi="楷体" w:eastAsia="楷体" w:cs="楷体"/>
                <w:szCs w:val="24"/>
                <w:lang w:val="en-US" w:eastAsia="zh-CN"/>
              </w:rPr>
              <w:t>20</w:t>
            </w:r>
            <w:r>
              <w:rPr>
                <w:rFonts w:hint="eastAsia" w:ascii="楷体" w:hAnsi="楷体" w:eastAsia="楷体" w:cs="楷体"/>
                <w:szCs w:val="24"/>
              </w:rPr>
              <w:t>年</w:t>
            </w:r>
            <w:r>
              <w:rPr>
                <w:rFonts w:hint="eastAsia" w:ascii="楷体" w:hAnsi="楷体" w:eastAsia="楷体" w:cs="楷体"/>
                <w:szCs w:val="24"/>
                <w:lang w:val="en-US" w:eastAsia="zh-CN"/>
              </w:rPr>
              <w:t>1</w:t>
            </w:r>
            <w:r>
              <w:rPr>
                <w:rFonts w:hint="eastAsia" w:ascii="楷体" w:hAnsi="楷体" w:eastAsia="楷体" w:cs="楷体"/>
                <w:szCs w:val="24"/>
              </w:rPr>
              <w:t>月开始运行</w:t>
            </w:r>
            <w:r>
              <w:rPr>
                <w:rFonts w:hint="eastAsia" w:ascii="楷体" w:hAnsi="楷体" w:eastAsia="楷体" w:cs="楷体"/>
                <w:szCs w:val="24"/>
                <w:lang w:val="en-US" w:eastAsia="zh-CN"/>
              </w:rPr>
              <w:t>环境</w:t>
            </w:r>
            <w:r>
              <w:rPr>
                <w:rFonts w:hint="eastAsia" w:ascii="楷体" w:hAnsi="楷体" w:eastAsia="楷体" w:cs="楷体"/>
                <w:szCs w:val="24"/>
              </w:rPr>
              <w:t>体系，组织了内审员培训，识别了生产的过程及其相互关系，企业提供编号：《管理手册》，依据GB/T24001-2016/IS014001:2015标准。20</w:t>
            </w:r>
            <w:r>
              <w:rPr>
                <w:rFonts w:hint="eastAsia" w:ascii="楷体" w:hAnsi="楷体" w:eastAsia="楷体" w:cs="楷体"/>
                <w:szCs w:val="24"/>
                <w:lang w:val="en-US" w:eastAsia="zh-CN"/>
              </w:rPr>
              <w:t>20</w:t>
            </w:r>
            <w:r>
              <w:rPr>
                <w:rFonts w:hint="eastAsia" w:ascii="楷体" w:hAnsi="楷体" w:eastAsia="楷体" w:cs="楷体"/>
                <w:szCs w:val="24"/>
              </w:rPr>
              <w:t>.</w:t>
            </w:r>
            <w:r>
              <w:rPr>
                <w:rFonts w:hint="eastAsia" w:ascii="楷体" w:hAnsi="楷体" w:eastAsia="楷体" w:cs="楷体"/>
                <w:szCs w:val="24"/>
                <w:lang w:val="en-US" w:eastAsia="zh-CN"/>
              </w:rPr>
              <w:t>1</w:t>
            </w:r>
            <w:r>
              <w:rPr>
                <w:rFonts w:hint="eastAsia" w:ascii="楷体" w:hAnsi="楷体" w:eastAsia="楷体" w:cs="楷体"/>
                <w:szCs w:val="24"/>
              </w:rPr>
              <w:t>.</w:t>
            </w:r>
            <w:r>
              <w:rPr>
                <w:rFonts w:hint="eastAsia" w:ascii="楷体" w:hAnsi="楷体" w:eastAsia="楷体" w:cs="楷体"/>
                <w:szCs w:val="24"/>
                <w:lang w:val="en-US" w:eastAsia="zh-CN"/>
              </w:rPr>
              <w:t>8</w:t>
            </w:r>
            <w:r>
              <w:rPr>
                <w:rFonts w:hint="eastAsia" w:ascii="楷体" w:hAnsi="楷体" w:eastAsia="楷体" w:cs="楷体"/>
                <w:szCs w:val="24"/>
              </w:rPr>
              <w:t>发布，20</w:t>
            </w:r>
            <w:r>
              <w:rPr>
                <w:rFonts w:hint="eastAsia" w:ascii="楷体" w:hAnsi="楷体" w:eastAsia="楷体" w:cs="楷体"/>
                <w:szCs w:val="24"/>
                <w:lang w:val="en-US" w:eastAsia="zh-CN"/>
              </w:rPr>
              <w:t>20</w:t>
            </w:r>
            <w:r>
              <w:rPr>
                <w:rFonts w:hint="eastAsia" w:ascii="楷体" w:hAnsi="楷体" w:eastAsia="楷体" w:cs="楷体"/>
                <w:szCs w:val="24"/>
              </w:rPr>
              <w:t>.</w:t>
            </w:r>
            <w:r>
              <w:rPr>
                <w:rFonts w:hint="eastAsia" w:ascii="楷体" w:hAnsi="楷体" w:eastAsia="楷体" w:cs="楷体"/>
                <w:szCs w:val="24"/>
                <w:lang w:val="en-US" w:eastAsia="zh-CN"/>
              </w:rPr>
              <w:t>1</w:t>
            </w:r>
            <w:r>
              <w:rPr>
                <w:rFonts w:hint="eastAsia" w:ascii="楷体" w:hAnsi="楷体" w:eastAsia="楷体" w:cs="楷体"/>
                <w:szCs w:val="24"/>
              </w:rPr>
              <w:t>.</w:t>
            </w:r>
            <w:r>
              <w:rPr>
                <w:rFonts w:hint="eastAsia" w:ascii="楷体" w:hAnsi="楷体" w:eastAsia="楷体" w:cs="楷体"/>
                <w:szCs w:val="24"/>
                <w:lang w:val="en-US" w:eastAsia="zh-CN"/>
              </w:rPr>
              <w:t>8</w:t>
            </w:r>
            <w:r>
              <w:rPr>
                <w:rFonts w:hint="eastAsia" w:ascii="楷体" w:hAnsi="楷体" w:eastAsia="楷体" w:cs="楷体"/>
                <w:szCs w:val="24"/>
              </w:rPr>
              <w:t>实施；总经理</w:t>
            </w:r>
            <w:r>
              <w:rPr>
                <w:rFonts w:hint="eastAsia" w:ascii="楷体" w:hAnsi="楷体" w:eastAsia="楷体" w:cs="楷体"/>
                <w:sz w:val="21"/>
                <w:szCs w:val="21"/>
                <w:lang w:val="en-US" w:eastAsia="zh-CN"/>
              </w:rPr>
              <w:t>赖姬妙</w:t>
            </w:r>
            <w:r>
              <w:rPr>
                <w:rFonts w:hint="eastAsia" w:ascii="楷体" w:hAnsi="楷体" w:eastAsia="楷体" w:cs="楷体"/>
                <w:szCs w:val="24"/>
              </w:rPr>
              <w:t>批准。任命管代：</w:t>
            </w:r>
            <w:r>
              <w:rPr>
                <w:rFonts w:hint="eastAsia" w:ascii="楷体" w:hAnsi="楷体" w:eastAsia="楷体" w:cs="楷体"/>
                <w:sz w:val="21"/>
                <w:szCs w:val="21"/>
                <w:lang w:val="en-US" w:eastAsia="zh-CN"/>
              </w:rPr>
              <w:t>屠菊蕾</w:t>
            </w:r>
            <w:r>
              <w:rPr>
                <w:rFonts w:hint="eastAsia" w:ascii="楷体" w:hAnsi="楷体" w:eastAsia="楷体" w:cs="楷体"/>
                <w:szCs w:val="24"/>
              </w:rPr>
              <w:t>；现有手册从发布实施以来已经运行 3 个月以上。</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rPr>
                <w:rFonts w:hint="eastAsia" w:ascii="楷体" w:hAnsi="楷体" w:eastAsia="楷体" w:cs="楷体"/>
                <w:b/>
                <w:szCs w:val="24"/>
              </w:rPr>
            </w:pPr>
            <w:r>
              <w:rPr>
                <w:rFonts w:hint="eastAsia" w:ascii="楷体" w:hAnsi="楷体" w:eastAsia="楷体" w:cs="楷体"/>
                <w:szCs w:val="24"/>
              </w:rPr>
              <w:t>理解组织及其环境</w:t>
            </w:r>
          </w:p>
        </w:tc>
        <w:tc>
          <w:tcPr>
            <w:tcW w:w="1311" w:type="dxa"/>
            <w:vAlign w:val="center"/>
          </w:tcPr>
          <w:p>
            <w:pPr>
              <w:rPr>
                <w:rFonts w:hint="eastAsia" w:ascii="楷体" w:hAnsi="楷体" w:eastAsia="楷体" w:cs="楷体"/>
                <w:b/>
                <w:szCs w:val="24"/>
              </w:rPr>
            </w:pPr>
            <w:r>
              <w:rPr>
                <w:rFonts w:hint="eastAsia" w:ascii="楷体" w:hAnsi="楷体" w:eastAsia="楷体" w:cs="楷体"/>
                <w:szCs w:val="24"/>
              </w:rPr>
              <w:t>E：4.1</w:t>
            </w:r>
          </w:p>
        </w:tc>
        <w:tc>
          <w:tcPr>
            <w:tcW w:w="10004" w:type="dxa"/>
            <w:vAlign w:val="center"/>
          </w:tcPr>
          <w:p>
            <w:pPr>
              <w:spacing w:line="360" w:lineRule="auto"/>
              <w:ind w:firstLine="420" w:firstLineChars="200"/>
              <w:rPr>
                <w:rFonts w:hint="eastAsia" w:ascii="楷体" w:hAnsi="楷体" w:eastAsia="楷体" w:cs="楷体"/>
                <w:color w:val="000000"/>
                <w:szCs w:val="24"/>
              </w:rPr>
            </w:pPr>
            <w:r>
              <w:rPr>
                <w:rFonts w:hint="eastAsia" w:ascii="楷体" w:hAnsi="楷体" w:eastAsia="楷体" w:cs="楷体"/>
                <w:color w:val="000000"/>
                <w:szCs w:val="24"/>
              </w:rPr>
              <w:t>提供《管理手册</w:t>
            </w:r>
            <w:r>
              <w:rPr>
                <w:rFonts w:hint="eastAsia" w:ascii="楷体" w:hAnsi="楷体" w:eastAsia="楷体" w:cs="楷体"/>
                <w:color w:val="000000"/>
                <w:szCs w:val="21"/>
              </w:rPr>
              <w:t>》</w:t>
            </w:r>
            <w:r>
              <w:rPr>
                <w:rFonts w:hint="eastAsia" w:ascii="楷体" w:hAnsi="楷体" w:eastAsia="楷体" w:cs="楷体"/>
                <w:color w:val="000000"/>
                <w:szCs w:val="24"/>
              </w:rPr>
              <w:t xml:space="preserve">，对公司地理位置、国内市场地位、法律法规要求、公司内部文化观价值观、内外部环境变化等均作出描述。 </w:t>
            </w:r>
          </w:p>
          <w:p>
            <w:pPr>
              <w:spacing w:line="360" w:lineRule="auto"/>
              <w:ind w:firstLine="420" w:firstLineChars="200"/>
              <w:rPr>
                <w:rFonts w:hint="eastAsia" w:ascii="楷体" w:hAnsi="楷体" w:eastAsia="楷体" w:cs="楷体"/>
                <w:color w:val="000000"/>
                <w:szCs w:val="24"/>
              </w:rPr>
            </w:pPr>
            <w:r>
              <w:rPr>
                <w:rFonts w:hint="eastAsia" w:ascii="楷体" w:hAnsi="楷体" w:eastAsia="楷体" w:cs="楷体"/>
                <w:color w:val="000000"/>
                <w:szCs w:val="24"/>
              </w:rPr>
              <w:t>与总经理</w:t>
            </w:r>
            <w:r>
              <w:rPr>
                <w:rFonts w:hint="eastAsia" w:ascii="楷体" w:hAnsi="楷体" w:eastAsia="楷体" w:cs="楷体"/>
                <w:sz w:val="21"/>
                <w:szCs w:val="21"/>
                <w:lang w:val="en-US" w:eastAsia="zh-CN"/>
              </w:rPr>
              <w:t>赖姬妙</w:t>
            </w:r>
            <w:r>
              <w:rPr>
                <w:rFonts w:hint="eastAsia" w:ascii="楷体" w:hAnsi="楷体" w:eastAsia="楷体" w:cs="楷体"/>
                <w:color w:val="000000"/>
                <w:szCs w:val="24"/>
              </w:rPr>
              <w:t>沟通，简单介绍了公司发展历程、公司文化的形成与发展、长短期发展目标、价值观的沟通，并对如何创造公司良好的内部环境提出要求，对公司目前所处的外部环境也做了简单分析。公司介绍，销售的产品在国内居于领先地位，在行业内占据一定市场地位。</w:t>
            </w:r>
          </w:p>
          <w:p>
            <w:pPr>
              <w:spacing w:line="360" w:lineRule="auto"/>
              <w:ind w:firstLine="420" w:firstLineChars="200"/>
              <w:rPr>
                <w:rFonts w:hint="eastAsia" w:ascii="楷体" w:hAnsi="楷体" w:eastAsia="楷体" w:cs="楷体"/>
                <w:szCs w:val="24"/>
              </w:rPr>
            </w:pPr>
            <w:r>
              <w:rPr>
                <w:rFonts w:hint="eastAsia" w:ascii="楷体" w:hAnsi="楷体" w:eastAsia="楷体" w:cs="楷体"/>
                <w:color w:val="000000"/>
                <w:szCs w:val="24"/>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vAlign w:val="center"/>
          </w:tcPr>
          <w:p>
            <w:pPr>
              <w:rPr>
                <w:rFonts w:hint="eastAsia" w:ascii="楷体" w:hAnsi="楷体" w:eastAsia="楷体" w:cs="楷体"/>
                <w:b/>
                <w:szCs w:val="24"/>
              </w:rPr>
            </w:pPr>
            <w:r>
              <w:rPr>
                <w:rFonts w:hint="eastAsia" w:ascii="楷体" w:hAnsi="楷体" w:eastAsia="楷体" w:cs="楷体"/>
                <w:szCs w:val="24"/>
              </w:rPr>
              <w:t>理解相关方的需求和期望</w:t>
            </w:r>
          </w:p>
        </w:tc>
        <w:tc>
          <w:tcPr>
            <w:tcW w:w="1311" w:type="dxa"/>
            <w:vAlign w:val="center"/>
          </w:tcPr>
          <w:p>
            <w:pPr>
              <w:rPr>
                <w:rFonts w:hint="eastAsia" w:ascii="楷体" w:hAnsi="楷体" w:eastAsia="楷体" w:cs="楷体"/>
                <w:szCs w:val="24"/>
              </w:rPr>
            </w:pPr>
            <w:r>
              <w:rPr>
                <w:rFonts w:hint="eastAsia" w:ascii="楷体" w:hAnsi="楷体" w:eastAsia="楷体" w:cs="楷体"/>
                <w:szCs w:val="24"/>
              </w:rPr>
              <w:t>E：4.2</w:t>
            </w:r>
          </w:p>
        </w:tc>
        <w:tc>
          <w:tcPr>
            <w:tcW w:w="10004" w:type="dxa"/>
            <w:vAlign w:val="center"/>
          </w:tcPr>
          <w:p>
            <w:pPr>
              <w:spacing w:line="360" w:lineRule="auto"/>
              <w:ind w:firstLine="420" w:firstLineChars="200"/>
              <w:rPr>
                <w:rFonts w:hint="eastAsia" w:ascii="楷体" w:hAnsi="楷体" w:eastAsia="楷体" w:cs="楷体"/>
                <w:color w:val="000000"/>
                <w:szCs w:val="24"/>
              </w:rPr>
            </w:pPr>
            <w:r>
              <w:rPr>
                <w:rFonts w:hint="eastAsia" w:ascii="楷体" w:hAnsi="楷体" w:eastAsia="楷体" w:cs="楷体"/>
                <w:color w:val="000000"/>
                <w:szCs w:val="24"/>
              </w:rPr>
              <w:t>相关方包括顾客、股东、员工、供应商、竞争对手、社会团体等。相关方期望和要求为价格、安全性、合同协议、行业规范标准等。识别的方法为：主动调查、水平对比等。检测指标或项目：顾客满意度、客户投诉率、供方评价表等。</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基本识别了与组织管理体系有关的相关方和要求</w:t>
            </w:r>
            <w:r>
              <w:rPr>
                <w:rFonts w:hint="eastAsia" w:ascii="楷体" w:hAnsi="楷体" w:eastAsia="楷体" w:cs="楷体"/>
                <w:szCs w:val="24"/>
                <w:lang w:val="zh-CN"/>
              </w:rPr>
              <w:t>。</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pPr>
              <w:rPr>
                <w:rFonts w:hint="eastAsia" w:ascii="楷体" w:hAnsi="楷体" w:eastAsia="楷体" w:cs="楷体"/>
                <w:szCs w:val="24"/>
              </w:rPr>
            </w:pPr>
            <w:r>
              <w:rPr>
                <w:rFonts w:hint="eastAsia" w:ascii="楷体" w:hAnsi="楷体" w:eastAsia="楷体" w:cs="楷体"/>
                <w:szCs w:val="24"/>
              </w:rPr>
              <w:t>环境管理体系的范围</w:t>
            </w:r>
          </w:p>
        </w:tc>
        <w:tc>
          <w:tcPr>
            <w:tcW w:w="1311" w:type="dxa"/>
            <w:vAlign w:val="center"/>
          </w:tcPr>
          <w:p>
            <w:pPr>
              <w:spacing w:line="360" w:lineRule="auto"/>
              <w:rPr>
                <w:rFonts w:hint="eastAsia" w:ascii="楷体" w:hAnsi="楷体" w:eastAsia="楷体" w:cs="楷体"/>
                <w:szCs w:val="24"/>
              </w:rPr>
            </w:pPr>
            <w:r>
              <w:rPr>
                <w:rFonts w:hint="eastAsia" w:ascii="楷体" w:hAnsi="楷体" w:eastAsia="楷体" w:cs="楷体"/>
                <w:szCs w:val="24"/>
              </w:rPr>
              <w:t xml:space="preserve">E：4.3 </w:t>
            </w:r>
          </w:p>
        </w:tc>
        <w:tc>
          <w:tcPr>
            <w:tcW w:w="10004" w:type="dxa"/>
            <w:vAlign w:val="center"/>
          </w:tcPr>
          <w:p>
            <w:pPr>
              <w:spacing w:line="360" w:lineRule="auto"/>
              <w:ind w:firstLine="420" w:firstLineChars="200"/>
              <w:jc w:val="left"/>
              <w:rPr>
                <w:rFonts w:hint="eastAsia" w:ascii="楷体" w:hAnsi="楷体" w:eastAsia="楷体" w:cs="楷体"/>
                <w:szCs w:val="24"/>
              </w:rPr>
            </w:pPr>
            <w:r>
              <w:rPr>
                <w:rFonts w:hint="eastAsia" w:ascii="楷体" w:hAnsi="楷体" w:eastAsia="楷体" w:cs="楷体"/>
                <w:szCs w:val="24"/>
              </w:rPr>
              <w:t>经确认企业的管理体系范围是：</w:t>
            </w:r>
          </w:p>
          <w:p>
            <w:pPr>
              <w:spacing w:line="360" w:lineRule="auto"/>
              <w:rPr>
                <w:rFonts w:hint="eastAsia" w:ascii="楷体" w:hAnsi="楷体" w:eastAsia="楷体" w:cs="楷体"/>
                <w:szCs w:val="24"/>
              </w:rPr>
            </w:pPr>
            <w:r>
              <w:rPr>
                <w:rFonts w:hint="eastAsia" w:ascii="楷体" w:hAnsi="楷体" w:eastAsia="楷体" w:cs="楷体"/>
                <w:szCs w:val="24"/>
              </w:rPr>
              <w:t xml:space="preserve">EMS: </w:t>
            </w:r>
            <w:bookmarkStart w:id="1" w:name="审核范围"/>
            <w:r>
              <w:rPr>
                <w:rFonts w:hint="eastAsia" w:ascii="楷体" w:hAnsi="楷体" w:eastAsia="楷体" w:cs="楷体"/>
                <w:sz w:val="20"/>
              </w:rPr>
              <w:t>门板和木饰面板的生产及销售所涉及场所的相关环境管理活动</w:t>
            </w:r>
            <w:r>
              <w:rPr>
                <w:rFonts w:hint="eastAsia" w:ascii="楷体" w:hAnsi="楷体" w:eastAsia="楷体" w:cs="楷体"/>
                <w:szCs w:val="21"/>
              </w:rPr>
              <w:t>。</w:t>
            </w:r>
            <w:bookmarkEnd w:id="1"/>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809" w:type="dxa"/>
            <w:vAlign w:val="center"/>
          </w:tcPr>
          <w:p>
            <w:pPr>
              <w:rPr>
                <w:rFonts w:hint="eastAsia" w:ascii="楷体" w:hAnsi="楷体" w:eastAsia="楷体" w:cs="楷体"/>
                <w:szCs w:val="24"/>
              </w:rPr>
            </w:pPr>
            <w:r>
              <w:rPr>
                <w:rFonts w:hint="eastAsia" w:ascii="楷体" w:hAnsi="楷体" w:eastAsia="楷体" w:cs="楷体"/>
                <w:szCs w:val="24"/>
              </w:rPr>
              <w:t>环境管理体系及其过程</w:t>
            </w:r>
          </w:p>
        </w:tc>
        <w:tc>
          <w:tcPr>
            <w:tcW w:w="1311" w:type="dxa"/>
            <w:vAlign w:val="center"/>
          </w:tcPr>
          <w:p>
            <w:pPr>
              <w:rPr>
                <w:rFonts w:hint="eastAsia" w:ascii="楷体" w:hAnsi="楷体" w:eastAsia="楷体" w:cs="楷体"/>
                <w:szCs w:val="24"/>
              </w:rPr>
            </w:pPr>
            <w:r>
              <w:rPr>
                <w:rFonts w:hint="eastAsia" w:ascii="楷体" w:hAnsi="楷体" w:eastAsia="楷体" w:cs="楷体"/>
                <w:szCs w:val="24"/>
              </w:rPr>
              <w:t xml:space="preserve">E：4.4  </w:t>
            </w:r>
          </w:p>
        </w:tc>
        <w:tc>
          <w:tcPr>
            <w:tcW w:w="10004" w:type="dxa"/>
            <w:vAlign w:val="center"/>
          </w:tcPr>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公司按照GB/T24001-2016 标准的要求识别了环境管理所需的过程及相互作用，识别了环境管理体系涉及的各个过程：</w:t>
            </w:r>
          </w:p>
          <w:p>
            <w:pPr>
              <w:spacing w:line="360" w:lineRule="auto"/>
              <w:rPr>
                <w:rFonts w:hint="eastAsia" w:ascii="楷体" w:hAnsi="楷体" w:eastAsia="楷体" w:cs="楷体"/>
                <w:szCs w:val="24"/>
              </w:rPr>
            </w:pPr>
            <w:r>
              <w:rPr>
                <w:rFonts w:hint="eastAsia" w:ascii="楷体" w:hAnsi="楷体" w:eastAsia="楷体" w:cs="楷体"/>
                <w:szCs w:val="24"/>
              </w:rPr>
              <w:t>　　a) 确定这些过程所需的输入和期望的输出；</w:t>
            </w:r>
          </w:p>
          <w:p>
            <w:pPr>
              <w:spacing w:line="360" w:lineRule="auto"/>
              <w:rPr>
                <w:rFonts w:hint="eastAsia" w:ascii="楷体" w:hAnsi="楷体" w:eastAsia="楷体" w:cs="楷体"/>
                <w:szCs w:val="24"/>
              </w:rPr>
            </w:pPr>
            <w:r>
              <w:rPr>
                <w:rFonts w:hint="eastAsia" w:ascii="楷体" w:hAnsi="楷体" w:eastAsia="楷体" w:cs="楷体"/>
                <w:szCs w:val="24"/>
              </w:rPr>
              <w:t>　　b) 确定这些过程的顺序和相互作用；</w:t>
            </w:r>
          </w:p>
          <w:p>
            <w:pPr>
              <w:spacing w:line="360" w:lineRule="auto"/>
              <w:rPr>
                <w:rFonts w:hint="eastAsia" w:ascii="楷体" w:hAnsi="楷体" w:eastAsia="楷体" w:cs="楷体"/>
                <w:szCs w:val="24"/>
              </w:rPr>
            </w:pPr>
            <w:r>
              <w:rPr>
                <w:rFonts w:hint="eastAsia" w:ascii="楷体" w:hAnsi="楷体" w:eastAsia="楷体" w:cs="楷体"/>
                <w:szCs w:val="24"/>
              </w:rPr>
              <w:t>　　c) 建立了程序文件、管理制度、作业指导书、检验规程等明确了各个过程所需的准则和方法，并明确了目标。</w:t>
            </w:r>
          </w:p>
          <w:p>
            <w:pPr>
              <w:spacing w:line="360" w:lineRule="auto"/>
              <w:rPr>
                <w:rFonts w:hint="eastAsia" w:ascii="楷体" w:hAnsi="楷体" w:eastAsia="楷体" w:cs="楷体"/>
                <w:szCs w:val="24"/>
              </w:rPr>
            </w:pPr>
            <w:r>
              <w:rPr>
                <w:rFonts w:hint="eastAsia" w:ascii="楷体" w:hAnsi="楷体" w:eastAsia="楷体" w:cs="楷体"/>
                <w:szCs w:val="24"/>
              </w:rPr>
              <w:t>　　d) 规定了每个过程所需的资源；</w:t>
            </w:r>
          </w:p>
          <w:p>
            <w:pPr>
              <w:spacing w:line="360" w:lineRule="auto"/>
              <w:rPr>
                <w:rFonts w:hint="eastAsia" w:ascii="楷体" w:hAnsi="楷体" w:eastAsia="楷体" w:cs="楷体"/>
                <w:szCs w:val="24"/>
              </w:rPr>
            </w:pPr>
            <w:r>
              <w:rPr>
                <w:rFonts w:hint="eastAsia" w:ascii="楷体" w:hAnsi="楷体" w:eastAsia="楷体" w:cs="楷体"/>
                <w:szCs w:val="24"/>
              </w:rPr>
              <w:t>　　e) 规定与这些过程相关的责任和权限；</w:t>
            </w:r>
          </w:p>
          <w:p>
            <w:pPr>
              <w:spacing w:line="360" w:lineRule="auto"/>
              <w:rPr>
                <w:rFonts w:hint="eastAsia" w:ascii="楷体" w:hAnsi="楷体" w:eastAsia="楷体" w:cs="楷体"/>
                <w:szCs w:val="24"/>
              </w:rPr>
            </w:pPr>
            <w:r>
              <w:rPr>
                <w:rFonts w:hint="eastAsia" w:ascii="楷体" w:hAnsi="楷体" w:eastAsia="楷体" w:cs="楷体"/>
                <w:szCs w:val="24"/>
              </w:rPr>
              <w:t>　  f) 针对这些过程识别和确定了质量管理活动的风险、机会以及所需的措施；</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g) 对这些过程进行了评价，暂无所需的变更；</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h) 公司通过绩效评价、内部审核、管理评审等以期对环境管理体系得到改进。</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公司按照标准建立了文件化的环境管理体系，编制了环境</w:t>
            </w:r>
            <w:r>
              <w:rPr>
                <w:rFonts w:hint="eastAsia" w:ascii="楷体" w:hAnsi="楷体" w:eastAsia="楷体" w:cs="楷体"/>
                <w:szCs w:val="24"/>
                <w:lang w:val="en-US" w:eastAsia="zh-CN"/>
              </w:rPr>
              <w:t>管理体系</w:t>
            </w:r>
            <w:r>
              <w:rPr>
                <w:rFonts w:hint="eastAsia" w:ascii="楷体" w:hAnsi="楷体" w:eastAsia="楷体" w:cs="楷体"/>
                <w:szCs w:val="24"/>
              </w:rPr>
              <w:t>手册，流程性文件、管理制度、作业指导书、检验规程等；并对各个过程的监控进行了记录，形成了相关文件化信息，为过程运行提供了支持，以证实过程按照策划执行。</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rPr>
                <w:rFonts w:hint="eastAsia" w:ascii="楷体" w:hAnsi="楷体" w:eastAsia="楷体" w:cs="楷体"/>
                <w:szCs w:val="24"/>
              </w:rPr>
            </w:pPr>
            <w:r>
              <w:rPr>
                <w:rFonts w:hint="eastAsia" w:ascii="楷体" w:hAnsi="楷体" w:eastAsia="楷体" w:cs="楷体"/>
                <w:szCs w:val="24"/>
              </w:rPr>
              <w:t>方针</w:t>
            </w:r>
          </w:p>
        </w:tc>
        <w:tc>
          <w:tcPr>
            <w:tcW w:w="1311" w:type="dxa"/>
            <w:vAlign w:val="center"/>
          </w:tcPr>
          <w:p>
            <w:pPr>
              <w:rPr>
                <w:rFonts w:hint="eastAsia" w:ascii="楷体" w:hAnsi="楷体" w:eastAsia="楷体" w:cs="楷体"/>
                <w:szCs w:val="24"/>
              </w:rPr>
            </w:pPr>
            <w:r>
              <w:rPr>
                <w:rFonts w:hint="eastAsia" w:ascii="楷体" w:hAnsi="楷体" w:eastAsia="楷体" w:cs="楷体"/>
                <w:szCs w:val="24"/>
              </w:rPr>
              <w:t xml:space="preserve">E：5.2 </w:t>
            </w:r>
          </w:p>
        </w:tc>
        <w:tc>
          <w:tcPr>
            <w:tcW w:w="10004" w:type="dxa"/>
            <w:vAlign w:val="center"/>
          </w:tcPr>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企业已经制定环境方针，具体包含在《管理手册》，公司的环境方针是：</w:t>
            </w:r>
          </w:p>
          <w:p>
            <w:pPr>
              <w:spacing w:line="400" w:lineRule="exact"/>
              <w:ind w:firstLine="1260" w:firstLineChars="600"/>
              <w:rPr>
                <w:rFonts w:hint="eastAsia" w:ascii="楷体" w:hAnsi="楷体" w:eastAsia="楷体" w:cs="楷体"/>
                <w:b w:val="0"/>
                <w:bCs w:val="0"/>
                <w:spacing w:val="20"/>
                <w:sz w:val="21"/>
                <w:szCs w:val="21"/>
              </w:rPr>
            </w:pPr>
            <w:r>
              <w:rPr>
                <w:rFonts w:hint="eastAsia" w:ascii="楷体" w:hAnsi="楷体" w:eastAsia="楷体" w:cs="楷体"/>
                <w:b w:val="0"/>
                <w:bCs w:val="0"/>
                <w:szCs w:val="24"/>
              </w:rPr>
              <w:t>建立环保制度，减少环境污染</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查领导层参与制定管理体系方针的情况，是否熟悉组织的管理体系方针内容、含义：</w:t>
            </w:r>
          </w:p>
          <w:p>
            <w:pPr>
              <w:spacing w:line="360" w:lineRule="auto"/>
              <w:rPr>
                <w:rFonts w:hint="eastAsia" w:ascii="楷体" w:hAnsi="楷体" w:eastAsia="楷体" w:cs="楷体"/>
                <w:szCs w:val="24"/>
              </w:rPr>
            </w:pPr>
            <w:r>
              <w:rPr>
                <w:rFonts w:hint="eastAsia" w:ascii="楷体" w:hAnsi="楷体" w:eastAsia="楷体" w:cs="楷体"/>
                <w:szCs w:val="24"/>
              </w:rPr>
              <w:t>总经理:</w:t>
            </w:r>
            <w:r>
              <w:rPr>
                <w:rFonts w:hint="eastAsia" w:ascii="楷体" w:hAnsi="楷体" w:eastAsia="楷体" w:cs="楷体"/>
                <w:sz w:val="21"/>
                <w:szCs w:val="21"/>
                <w:lang w:val="en-US" w:eastAsia="zh-CN"/>
              </w:rPr>
              <w:t>赖姬妙</w:t>
            </w:r>
            <w:r>
              <w:rPr>
                <w:rFonts w:hint="eastAsia" w:ascii="楷体" w:hAnsi="楷体" w:eastAsia="楷体" w:cs="楷体"/>
                <w:szCs w:val="24"/>
              </w:rPr>
              <w:t>；管代：</w:t>
            </w:r>
            <w:r>
              <w:rPr>
                <w:rFonts w:hint="eastAsia" w:ascii="楷体" w:hAnsi="楷体" w:eastAsia="楷体" w:cs="楷体"/>
                <w:sz w:val="21"/>
                <w:szCs w:val="21"/>
                <w:lang w:val="en-US" w:eastAsia="zh-CN"/>
              </w:rPr>
              <w:t>屠菊蕾</w:t>
            </w:r>
            <w:r>
              <w:rPr>
                <w:rFonts w:hint="eastAsia" w:ascii="楷体" w:hAnsi="楷体" w:eastAsia="楷体" w:cs="楷体"/>
                <w:szCs w:val="24"/>
              </w:rPr>
              <w:t>，按照标准要求制订的方针，并介绍了方针的含义，对体系知识的学习还需加强。管理评审对环境方针的适宜性作了评审，判定适宜，适合公司的发展需求。环境方针符合标准要求。</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hint="eastAsia" w:ascii="楷体" w:hAnsi="楷体" w:eastAsia="楷体" w:cs="楷体"/>
                <w:szCs w:val="24"/>
              </w:rPr>
            </w:pPr>
            <w:r>
              <w:rPr>
                <w:rFonts w:hint="eastAsia" w:ascii="楷体" w:hAnsi="楷体" w:eastAsia="楷体" w:cs="楷体"/>
                <w:szCs w:val="24"/>
              </w:rPr>
              <w:t>组织的角色、职责和权限</w:t>
            </w:r>
          </w:p>
        </w:tc>
        <w:tc>
          <w:tcPr>
            <w:tcW w:w="1311" w:type="dxa"/>
            <w:vAlign w:val="center"/>
          </w:tcPr>
          <w:p>
            <w:pPr>
              <w:rPr>
                <w:rFonts w:hint="eastAsia" w:ascii="楷体" w:hAnsi="楷体" w:eastAsia="楷体" w:cs="楷体"/>
                <w:szCs w:val="24"/>
              </w:rPr>
            </w:pPr>
            <w:r>
              <w:rPr>
                <w:rFonts w:hint="eastAsia" w:ascii="楷体" w:hAnsi="楷体" w:eastAsia="楷体" w:cs="楷体"/>
                <w:szCs w:val="24"/>
              </w:rPr>
              <w:t xml:space="preserve">E：5.3  </w:t>
            </w:r>
          </w:p>
        </w:tc>
        <w:tc>
          <w:tcPr>
            <w:tcW w:w="10004" w:type="dxa"/>
            <w:vAlign w:val="center"/>
          </w:tcPr>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最高管理者明确了各部门和各岗位的职责和权限，以确保管理体系符合各项标准的要求，并确保各个过程获得其预期输出，向最高管理者报告环境管理体系的绩效及改进机会，确保整个组织推动以顾客为关注焦点，确保在策划和实施管理体系变更时保持其完整性。经查每个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r>
              <w:rPr>
                <w:rFonts w:hint="eastAsia" w:ascii="楷体" w:hAnsi="楷体" w:eastAsia="楷体" w:cs="楷体"/>
                <w:color w:val="000000"/>
                <w:szCs w:val="24"/>
              </w:rPr>
              <w:t>据总经理介绍，一共为体系的建立实施和改进投入了各种资源、资金等约</w:t>
            </w:r>
            <w:r>
              <w:rPr>
                <w:rFonts w:hint="eastAsia" w:ascii="楷体" w:hAnsi="楷体" w:eastAsia="楷体" w:cs="楷体"/>
                <w:color w:val="FF0000"/>
                <w:szCs w:val="24"/>
              </w:rPr>
              <w:t>5</w:t>
            </w:r>
            <w:r>
              <w:rPr>
                <w:rFonts w:hint="eastAsia" w:ascii="楷体" w:hAnsi="楷体" w:eastAsia="楷体" w:cs="楷体"/>
                <w:color w:val="000000"/>
                <w:szCs w:val="24"/>
              </w:rPr>
              <w:t>万余元,现场询问管代、陪同人员，均了解其职责。</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rPr>
                <w:rFonts w:hint="eastAsia" w:ascii="楷体" w:hAnsi="楷体" w:eastAsia="楷体" w:cs="楷体"/>
                <w:szCs w:val="24"/>
              </w:rPr>
            </w:pPr>
            <w:r>
              <w:rPr>
                <w:rFonts w:hint="eastAsia" w:ascii="楷体" w:hAnsi="楷体" w:eastAsia="楷体" w:cs="楷体"/>
                <w:szCs w:val="24"/>
              </w:rPr>
              <w:t>应对风险和机会的措施</w:t>
            </w:r>
          </w:p>
        </w:tc>
        <w:tc>
          <w:tcPr>
            <w:tcW w:w="1311" w:type="dxa"/>
            <w:vAlign w:val="center"/>
          </w:tcPr>
          <w:p>
            <w:pPr>
              <w:rPr>
                <w:rFonts w:hint="eastAsia" w:ascii="楷体" w:hAnsi="楷体" w:eastAsia="楷体" w:cs="楷体"/>
                <w:szCs w:val="24"/>
              </w:rPr>
            </w:pPr>
          </w:p>
          <w:p>
            <w:pPr>
              <w:rPr>
                <w:rFonts w:hint="eastAsia" w:ascii="楷体" w:hAnsi="楷体" w:eastAsia="楷体" w:cs="楷体"/>
                <w:szCs w:val="24"/>
              </w:rPr>
            </w:pPr>
            <w:r>
              <w:rPr>
                <w:rFonts w:hint="eastAsia" w:ascii="楷体" w:hAnsi="楷体" w:eastAsia="楷体" w:cs="楷体"/>
                <w:szCs w:val="24"/>
              </w:rPr>
              <w:t>E： 6.1.1</w:t>
            </w:r>
          </w:p>
        </w:tc>
        <w:tc>
          <w:tcPr>
            <w:tcW w:w="10004" w:type="dxa"/>
            <w:vAlign w:val="center"/>
          </w:tcPr>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编制有《风险和机遇的应对控制程序》，对组织内外的风险和机遇进行了策划。提供《风险和机遇评估分析表》，识别了风险和机遇来源、风险和机遇内容、管理措施、责任部门、实时时间、评价措施等：</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风险、机遇：从客户开发、合同评审、产品交付、领导作用、信息交流、采购管理、仓库管理等方面进行分析评估。从严重程度、发生概率、可探测性、RPN等确定风险和机遇。</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应对措施：与风险、机遇相适应。</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809" w:type="dxa"/>
            <w:vAlign w:val="center"/>
          </w:tcPr>
          <w:p>
            <w:pPr>
              <w:rPr>
                <w:rFonts w:hint="eastAsia" w:ascii="楷体" w:hAnsi="楷体" w:eastAsia="楷体" w:cs="楷体"/>
                <w:szCs w:val="24"/>
              </w:rPr>
            </w:pPr>
            <w:r>
              <w:rPr>
                <w:rFonts w:hint="eastAsia" w:ascii="楷体" w:hAnsi="楷体" w:eastAsia="楷体" w:cs="楷体"/>
                <w:szCs w:val="24"/>
              </w:rPr>
              <w:t>目标和措施计划（管理方案）</w:t>
            </w:r>
          </w:p>
        </w:tc>
        <w:tc>
          <w:tcPr>
            <w:tcW w:w="1311" w:type="dxa"/>
            <w:vAlign w:val="center"/>
          </w:tcPr>
          <w:p>
            <w:pPr>
              <w:rPr>
                <w:rFonts w:hint="eastAsia" w:ascii="楷体" w:hAnsi="楷体" w:eastAsia="楷体" w:cs="楷体"/>
                <w:szCs w:val="24"/>
              </w:rPr>
            </w:pPr>
            <w:r>
              <w:rPr>
                <w:rFonts w:hint="eastAsia" w:ascii="楷体" w:hAnsi="楷体" w:eastAsia="楷体" w:cs="楷体"/>
                <w:szCs w:val="24"/>
              </w:rPr>
              <w:t xml:space="preserve">E：6.2  </w:t>
            </w:r>
          </w:p>
        </w:tc>
        <w:tc>
          <w:tcPr>
            <w:tcW w:w="10004" w:type="dxa"/>
            <w:vAlign w:val="center"/>
          </w:tcPr>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ind w:firstLine="420" w:firstLineChars="200"/>
              <w:rPr>
                <w:rFonts w:hint="eastAsia" w:ascii="楷体" w:hAnsi="楷体" w:eastAsia="楷体" w:cs="楷体"/>
                <w:szCs w:val="24"/>
              </w:rPr>
            </w:pPr>
            <w:r>
              <w:rPr>
                <w:rFonts w:hint="eastAsia" w:ascii="楷体" w:hAnsi="楷体" w:eastAsia="楷体" w:cs="楷体"/>
                <w:szCs w:val="24"/>
              </w:rPr>
              <w:t>环境目标：</w:t>
            </w:r>
          </w:p>
          <w:p>
            <w:pPr>
              <w:spacing w:line="360" w:lineRule="auto"/>
              <w:ind w:firstLine="411" w:firstLineChars="196"/>
              <w:rPr>
                <w:rFonts w:hint="eastAsia" w:ascii="楷体" w:hAnsi="楷体" w:eastAsia="楷体" w:cs="楷体"/>
                <w:sz w:val="21"/>
                <w:szCs w:val="21"/>
              </w:rPr>
            </w:pPr>
            <w:r>
              <w:rPr>
                <w:rFonts w:hint="eastAsia" w:ascii="楷体" w:hAnsi="楷体" w:eastAsia="楷体" w:cs="楷体"/>
                <w:sz w:val="21"/>
                <w:szCs w:val="21"/>
              </w:rPr>
              <w:t>各类废弃物按规定处置率</w:t>
            </w:r>
            <w:r>
              <w:rPr>
                <w:rFonts w:hint="eastAsia" w:ascii="楷体" w:hAnsi="楷体" w:eastAsia="楷体" w:cs="楷体"/>
                <w:color w:val="000000"/>
                <w:sz w:val="21"/>
                <w:szCs w:val="21"/>
              </w:rPr>
              <w:t>≥99</w:t>
            </w:r>
            <w:r>
              <w:rPr>
                <w:rFonts w:hint="eastAsia" w:ascii="楷体" w:hAnsi="楷体" w:eastAsia="楷体" w:cs="楷体"/>
                <w:sz w:val="21"/>
                <w:szCs w:val="21"/>
              </w:rPr>
              <w:t>%</w:t>
            </w:r>
          </w:p>
          <w:p>
            <w:pPr>
              <w:pStyle w:val="2"/>
              <w:ind w:firstLine="460" w:firstLineChars="20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火灾事故为零</w:t>
            </w:r>
          </w:p>
          <w:p>
            <w:pPr>
              <w:pStyle w:val="2"/>
              <w:ind w:firstLine="460" w:firstLineChars="200"/>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噪声达标排放</w:t>
            </w:r>
          </w:p>
          <w:p>
            <w:pPr>
              <w:spacing w:line="360" w:lineRule="auto"/>
              <w:ind w:firstLine="420" w:firstLineChars="200"/>
              <w:rPr>
                <w:rFonts w:hint="eastAsia" w:ascii="楷体" w:hAnsi="楷体" w:eastAsia="楷体" w:cs="楷体"/>
                <w:color w:val="000000"/>
                <w:szCs w:val="24"/>
              </w:rPr>
            </w:pPr>
            <w:r>
              <w:rPr>
                <w:rFonts w:hint="eastAsia" w:ascii="楷体" w:hAnsi="楷体" w:eastAsia="楷体" w:cs="楷体"/>
                <w:szCs w:val="24"/>
              </w:rPr>
              <w:t>组织对公司质量、环境、职业健康安全目标、指标予以分解，并在相关职能层次部门建立分目标，查见《目标指标分解及措施表》</w:t>
            </w:r>
          </w:p>
          <w:p>
            <w:pPr>
              <w:spacing w:line="360" w:lineRule="auto"/>
              <w:rPr>
                <w:rFonts w:hint="eastAsia" w:ascii="楷体" w:hAnsi="楷体" w:eastAsia="楷体" w:cs="楷体"/>
                <w:szCs w:val="24"/>
                <w:lang w:val="en-US" w:eastAsia="zh-CN"/>
              </w:rPr>
            </w:pPr>
            <w:r>
              <w:rPr>
                <w:rFonts w:hint="eastAsia" w:ascii="楷体" w:hAnsi="楷体" w:eastAsia="楷体" w:cs="楷体"/>
                <w:szCs w:val="24"/>
                <w:lang w:val="en-US" w:eastAsia="zh-CN"/>
              </w:rPr>
              <w:t>管理方案：</w:t>
            </w:r>
          </w:p>
          <w:tbl>
            <w:tblPr>
              <w:tblStyle w:val="6"/>
              <w:tblpPr w:leftFromText="180" w:rightFromText="180" w:vertAnchor="text" w:horzAnchor="page" w:tblpX="1053" w:tblpY="425"/>
              <w:tblOverlap w:val="never"/>
              <w:tblW w:w="9415" w:type="dxa"/>
              <w:tblInd w:w="0" w:type="dxa"/>
              <w:tblLayout w:type="fixed"/>
              <w:tblCellMar>
                <w:top w:w="0" w:type="dxa"/>
                <w:left w:w="108" w:type="dxa"/>
                <w:bottom w:w="0" w:type="dxa"/>
                <w:right w:w="108" w:type="dxa"/>
              </w:tblCellMar>
            </w:tblPr>
            <w:tblGrid>
              <w:gridCol w:w="533"/>
              <w:gridCol w:w="652"/>
              <w:gridCol w:w="740"/>
              <w:gridCol w:w="1140"/>
              <w:gridCol w:w="2240"/>
              <w:gridCol w:w="1200"/>
              <w:gridCol w:w="960"/>
              <w:gridCol w:w="1030"/>
              <w:gridCol w:w="920"/>
            </w:tblGrid>
            <w:tr>
              <w:tblPrEx>
                <w:tblCellMar>
                  <w:top w:w="0" w:type="dxa"/>
                  <w:left w:w="108" w:type="dxa"/>
                  <w:bottom w:w="0" w:type="dxa"/>
                  <w:right w:w="108" w:type="dxa"/>
                </w:tblCellMar>
              </w:tblPrEx>
              <w:trPr>
                <w:cantSplit/>
                <w:trHeight w:val="478" w:hRule="atLeast"/>
              </w:trPr>
              <w:tc>
                <w:tcPr>
                  <w:tcW w:w="533" w:type="dxa"/>
                  <w:vMerge w:val="restart"/>
                  <w:tcBorders>
                    <w:top w:val="single" w:color="000000" w:sz="12" w:space="0"/>
                    <w:left w:val="single" w:color="000000" w:sz="12" w:space="0"/>
                    <w:bottom w:val="single" w:color="000000" w:sz="6" w:space="0"/>
                    <w:right w:val="single" w:color="000000" w:sz="6" w:space="0"/>
                  </w:tcBorders>
                  <w:noWrap w:val="0"/>
                  <w:vAlign w:val="center"/>
                </w:tcPr>
                <w:p>
                  <w:pPr>
                    <w:spacing w:line="380" w:lineRule="atLeast"/>
                    <w:jc w:val="center"/>
                    <w:rPr>
                      <w:rFonts w:hint="eastAsia" w:ascii="楷体" w:hAnsi="楷体" w:eastAsia="楷体" w:cs="楷体"/>
                      <w:b/>
                      <w:kern w:val="1"/>
                      <w:szCs w:val="21"/>
                    </w:rPr>
                  </w:pPr>
                  <w:r>
                    <w:rPr>
                      <w:rFonts w:hint="eastAsia" w:ascii="楷体" w:hAnsi="楷体" w:eastAsia="楷体" w:cs="楷体"/>
                      <w:b/>
                      <w:kern w:val="1"/>
                      <w:szCs w:val="21"/>
                    </w:rPr>
                    <w:t>序号</w:t>
                  </w:r>
                </w:p>
              </w:tc>
              <w:tc>
                <w:tcPr>
                  <w:tcW w:w="652" w:type="dxa"/>
                  <w:vMerge w:val="restart"/>
                  <w:tcBorders>
                    <w:top w:val="single" w:color="000000" w:sz="12" w:space="0"/>
                    <w:left w:val="single" w:color="000000" w:sz="6" w:space="0"/>
                    <w:bottom w:val="single" w:color="000000" w:sz="6" w:space="0"/>
                    <w:right w:val="single" w:color="000000" w:sz="6" w:space="0"/>
                  </w:tcBorders>
                  <w:noWrap w:val="0"/>
                  <w:vAlign w:val="center"/>
                </w:tcPr>
                <w:p>
                  <w:pPr>
                    <w:spacing w:line="380" w:lineRule="atLeast"/>
                    <w:jc w:val="center"/>
                    <w:rPr>
                      <w:rFonts w:hint="eastAsia" w:ascii="楷体" w:hAnsi="楷体" w:eastAsia="楷体" w:cs="楷体"/>
                      <w:b/>
                      <w:kern w:val="1"/>
                      <w:szCs w:val="21"/>
                    </w:rPr>
                  </w:pPr>
                  <w:r>
                    <w:rPr>
                      <w:rFonts w:hint="eastAsia" w:ascii="楷体" w:hAnsi="楷体" w:eastAsia="楷体" w:cs="楷体"/>
                      <w:b/>
                      <w:kern w:val="1"/>
                      <w:szCs w:val="21"/>
                    </w:rPr>
                    <w:t>重要环境</w:t>
                  </w:r>
                </w:p>
                <w:p>
                  <w:pPr>
                    <w:spacing w:line="380" w:lineRule="atLeast"/>
                    <w:jc w:val="center"/>
                    <w:rPr>
                      <w:rFonts w:hint="eastAsia" w:ascii="楷体" w:hAnsi="楷体" w:eastAsia="楷体" w:cs="楷体"/>
                      <w:b/>
                      <w:kern w:val="1"/>
                      <w:szCs w:val="21"/>
                    </w:rPr>
                  </w:pPr>
                  <w:r>
                    <w:rPr>
                      <w:rFonts w:hint="eastAsia" w:ascii="楷体" w:hAnsi="楷体" w:eastAsia="楷体" w:cs="楷体"/>
                      <w:b/>
                      <w:kern w:val="1"/>
                      <w:szCs w:val="21"/>
                    </w:rPr>
                    <w:t>因    素</w:t>
                  </w:r>
                </w:p>
              </w:tc>
              <w:tc>
                <w:tcPr>
                  <w:tcW w:w="740" w:type="dxa"/>
                  <w:vMerge w:val="restart"/>
                  <w:tcBorders>
                    <w:top w:val="single" w:color="000000" w:sz="12" w:space="0"/>
                    <w:left w:val="single" w:color="000000" w:sz="6" w:space="0"/>
                    <w:bottom w:val="single" w:color="000000" w:sz="6" w:space="0"/>
                    <w:right w:val="single" w:color="000000" w:sz="6" w:space="0"/>
                  </w:tcBorders>
                  <w:noWrap w:val="0"/>
                  <w:vAlign w:val="center"/>
                </w:tcPr>
                <w:p>
                  <w:pPr>
                    <w:spacing w:line="380" w:lineRule="atLeast"/>
                    <w:jc w:val="center"/>
                    <w:rPr>
                      <w:rFonts w:hint="eastAsia" w:ascii="楷体" w:hAnsi="楷体" w:eastAsia="楷体" w:cs="楷体"/>
                      <w:b/>
                      <w:kern w:val="1"/>
                      <w:szCs w:val="21"/>
                    </w:rPr>
                  </w:pPr>
                  <w:r>
                    <w:rPr>
                      <w:rFonts w:hint="eastAsia" w:ascii="楷体" w:hAnsi="楷体" w:eastAsia="楷体" w:cs="楷体"/>
                      <w:b/>
                      <w:kern w:val="1"/>
                      <w:szCs w:val="21"/>
                    </w:rPr>
                    <w:t>环境目标</w:t>
                  </w:r>
                </w:p>
              </w:tc>
              <w:tc>
                <w:tcPr>
                  <w:tcW w:w="1140" w:type="dxa"/>
                  <w:vMerge w:val="restart"/>
                  <w:tcBorders>
                    <w:top w:val="single" w:color="000000" w:sz="12" w:space="0"/>
                    <w:left w:val="single" w:color="000000" w:sz="6" w:space="0"/>
                    <w:bottom w:val="single" w:color="000000" w:sz="6" w:space="0"/>
                    <w:right w:val="single" w:color="000000" w:sz="6" w:space="0"/>
                  </w:tcBorders>
                  <w:noWrap w:val="0"/>
                  <w:vAlign w:val="center"/>
                </w:tcPr>
                <w:p>
                  <w:pPr>
                    <w:spacing w:line="380" w:lineRule="atLeast"/>
                    <w:jc w:val="center"/>
                    <w:rPr>
                      <w:rFonts w:hint="eastAsia" w:ascii="楷体" w:hAnsi="楷体" w:eastAsia="楷体" w:cs="楷体"/>
                      <w:b/>
                      <w:kern w:val="1"/>
                      <w:szCs w:val="21"/>
                    </w:rPr>
                  </w:pPr>
                  <w:r>
                    <w:rPr>
                      <w:rFonts w:hint="eastAsia" w:ascii="楷体" w:hAnsi="楷体" w:eastAsia="楷体" w:cs="楷体"/>
                      <w:b/>
                      <w:kern w:val="1"/>
                      <w:szCs w:val="21"/>
                    </w:rPr>
                    <w:t>指   标</w:t>
                  </w:r>
                </w:p>
              </w:tc>
              <w:tc>
                <w:tcPr>
                  <w:tcW w:w="6350" w:type="dxa"/>
                  <w:gridSpan w:val="5"/>
                  <w:tcBorders>
                    <w:top w:val="single" w:color="000000" w:sz="12" w:space="0"/>
                    <w:left w:val="single" w:color="000000" w:sz="6" w:space="0"/>
                    <w:bottom w:val="single" w:color="000000" w:sz="6" w:space="0"/>
                    <w:right w:val="single" w:color="000000" w:sz="12" w:space="0"/>
                  </w:tcBorders>
                  <w:noWrap w:val="0"/>
                  <w:vAlign w:val="center"/>
                </w:tcPr>
                <w:p>
                  <w:pPr>
                    <w:spacing w:line="380" w:lineRule="atLeast"/>
                    <w:jc w:val="center"/>
                    <w:rPr>
                      <w:rFonts w:hint="eastAsia" w:ascii="楷体" w:hAnsi="楷体" w:eastAsia="楷体" w:cs="楷体"/>
                      <w:b/>
                      <w:kern w:val="1"/>
                      <w:szCs w:val="21"/>
                    </w:rPr>
                  </w:pPr>
                  <w:r>
                    <w:rPr>
                      <w:rFonts w:hint="eastAsia" w:ascii="楷体" w:hAnsi="楷体" w:eastAsia="楷体" w:cs="楷体"/>
                      <w:b/>
                      <w:kern w:val="1"/>
                      <w:szCs w:val="21"/>
                    </w:rPr>
                    <w:t>计 划 采 取 的 方 法 和 措 施</w:t>
                  </w:r>
                </w:p>
              </w:tc>
            </w:tr>
            <w:tr>
              <w:tblPrEx>
                <w:tblCellMar>
                  <w:top w:w="0" w:type="dxa"/>
                  <w:left w:w="108" w:type="dxa"/>
                  <w:bottom w:w="0" w:type="dxa"/>
                  <w:right w:w="108" w:type="dxa"/>
                </w:tblCellMar>
              </w:tblPrEx>
              <w:trPr>
                <w:cantSplit/>
                <w:trHeight w:val="472" w:hRule="atLeast"/>
              </w:trPr>
              <w:tc>
                <w:tcPr>
                  <w:tcW w:w="533" w:type="dxa"/>
                  <w:vMerge w:val="continue"/>
                  <w:tcBorders>
                    <w:top w:val="single" w:color="000000" w:sz="6" w:space="0"/>
                    <w:left w:val="single" w:color="000000" w:sz="12" w:space="0"/>
                    <w:bottom w:val="single" w:color="000000" w:sz="6" w:space="0"/>
                    <w:right w:val="single" w:color="000000" w:sz="6" w:space="0"/>
                  </w:tcBorders>
                  <w:noWrap w:val="0"/>
                  <w:vAlign w:val="center"/>
                </w:tcPr>
                <w:p>
                  <w:pPr>
                    <w:jc w:val="left"/>
                    <w:rPr>
                      <w:rFonts w:hint="eastAsia" w:ascii="楷体" w:hAnsi="楷体" w:eastAsia="楷体" w:cs="楷体"/>
                      <w:b/>
                      <w:kern w:val="1"/>
                      <w:szCs w:val="21"/>
                    </w:rPr>
                  </w:pPr>
                </w:p>
              </w:tc>
              <w:tc>
                <w:tcPr>
                  <w:tcW w:w="652"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left"/>
                    <w:rPr>
                      <w:rFonts w:hint="eastAsia" w:ascii="楷体" w:hAnsi="楷体" w:eastAsia="楷体" w:cs="楷体"/>
                      <w:b/>
                      <w:kern w:val="1"/>
                      <w:szCs w:val="21"/>
                    </w:rPr>
                  </w:pPr>
                </w:p>
              </w:tc>
              <w:tc>
                <w:tcPr>
                  <w:tcW w:w="740"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left"/>
                    <w:rPr>
                      <w:rFonts w:hint="eastAsia" w:ascii="楷体" w:hAnsi="楷体" w:eastAsia="楷体" w:cs="楷体"/>
                      <w:b/>
                      <w:kern w:val="1"/>
                      <w:szCs w:val="21"/>
                    </w:rPr>
                  </w:pPr>
                </w:p>
              </w:tc>
              <w:tc>
                <w:tcPr>
                  <w:tcW w:w="1140"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left"/>
                    <w:rPr>
                      <w:rFonts w:hint="eastAsia" w:ascii="楷体" w:hAnsi="楷体" w:eastAsia="楷体" w:cs="楷体"/>
                      <w:b/>
                      <w:kern w:val="1"/>
                      <w:szCs w:val="21"/>
                    </w:rPr>
                  </w:pPr>
                </w:p>
              </w:tc>
              <w:tc>
                <w:tcPr>
                  <w:tcW w:w="2240"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atLeast"/>
                    <w:jc w:val="center"/>
                    <w:rPr>
                      <w:rFonts w:hint="eastAsia" w:ascii="楷体" w:hAnsi="楷体" w:eastAsia="楷体" w:cs="楷体"/>
                      <w:b/>
                      <w:kern w:val="1"/>
                      <w:szCs w:val="21"/>
                    </w:rPr>
                  </w:pPr>
                  <w:r>
                    <w:rPr>
                      <w:rFonts w:hint="eastAsia" w:ascii="楷体" w:hAnsi="楷体" w:eastAsia="楷体" w:cs="楷体"/>
                      <w:b/>
                      <w:kern w:val="1"/>
                      <w:szCs w:val="21"/>
                    </w:rPr>
                    <w:t>主  要  措  施</w:t>
                  </w:r>
                </w:p>
              </w:tc>
              <w:tc>
                <w:tcPr>
                  <w:tcW w:w="1200"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atLeast"/>
                    <w:jc w:val="center"/>
                    <w:rPr>
                      <w:rFonts w:hint="eastAsia" w:ascii="楷体" w:hAnsi="楷体" w:eastAsia="楷体" w:cs="楷体"/>
                      <w:b/>
                      <w:kern w:val="1"/>
                      <w:szCs w:val="21"/>
                    </w:rPr>
                  </w:pPr>
                  <w:r>
                    <w:rPr>
                      <w:rFonts w:hint="eastAsia" w:ascii="楷体" w:hAnsi="楷体" w:eastAsia="楷体" w:cs="楷体"/>
                      <w:b/>
                      <w:kern w:val="1"/>
                      <w:szCs w:val="21"/>
                    </w:rPr>
                    <w:t>控制方法进度安排</w:t>
                  </w:r>
                </w:p>
              </w:tc>
              <w:tc>
                <w:tcPr>
                  <w:tcW w:w="960"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atLeast"/>
                    <w:jc w:val="center"/>
                    <w:rPr>
                      <w:rFonts w:hint="eastAsia" w:ascii="楷体" w:hAnsi="楷体" w:eastAsia="楷体" w:cs="楷体"/>
                      <w:b/>
                      <w:kern w:val="1"/>
                      <w:szCs w:val="21"/>
                    </w:rPr>
                  </w:pPr>
                  <w:r>
                    <w:rPr>
                      <w:rFonts w:hint="eastAsia" w:ascii="楷体" w:hAnsi="楷体" w:eastAsia="楷体" w:cs="楷体"/>
                      <w:b/>
                      <w:kern w:val="1"/>
                      <w:szCs w:val="21"/>
                    </w:rPr>
                    <w:t>计划资金</w:t>
                  </w:r>
                </w:p>
              </w:tc>
              <w:tc>
                <w:tcPr>
                  <w:tcW w:w="1030"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atLeast"/>
                    <w:jc w:val="center"/>
                    <w:rPr>
                      <w:rFonts w:hint="eastAsia" w:ascii="楷体" w:hAnsi="楷体" w:eastAsia="楷体" w:cs="楷体"/>
                      <w:b/>
                      <w:kern w:val="1"/>
                      <w:szCs w:val="21"/>
                    </w:rPr>
                  </w:pPr>
                  <w:r>
                    <w:rPr>
                      <w:rFonts w:hint="eastAsia" w:ascii="楷体" w:hAnsi="楷体" w:eastAsia="楷体" w:cs="楷体"/>
                      <w:b/>
                      <w:kern w:val="1"/>
                      <w:szCs w:val="21"/>
                    </w:rPr>
                    <w:t>责任部门</w:t>
                  </w:r>
                </w:p>
              </w:tc>
              <w:tc>
                <w:tcPr>
                  <w:tcW w:w="920" w:type="dxa"/>
                  <w:tcBorders>
                    <w:top w:val="single" w:color="000000" w:sz="6" w:space="0"/>
                    <w:left w:val="single" w:color="000000" w:sz="6" w:space="0"/>
                    <w:bottom w:val="single" w:color="000000" w:sz="6" w:space="0"/>
                    <w:right w:val="single" w:color="000000" w:sz="12" w:space="0"/>
                  </w:tcBorders>
                  <w:noWrap w:val="0"/>
                  <w:vAlign w:val="center"/>
                </w:tcPr>
                <w:p>
                  <w:pPr>
                    <w:spacing w:line="380" w:lineRule="atLeast"/>
                    <w:jc w:val="center"/>
                    <w:rPr>
                      <w:rFonts w:hint="eastAsia" w:ascii="楷体" w:hAnsi="楷体" w:eastAsia="楷体" w:cs="楷体"/>
                      <w:b/>
                      <w:kern w:val="1"/>
                      <w:szCs w:val="21"/>
                    </w:rPr>
                  </w:pPr>
                  <w:r>
                    <w:rPr>
                      <w:rFonts w:hint="eastAsia" w:ascii="楷体" w:hAnsi="楷体" w:eastAsia="楷体" w:cs="楷体"/>
                      <w:b/>
                      <w:kern w:val="1"/>
                      <w:szCs w:val="21"/>
                    </w:rPr>
                    <w:t>监控部门</w:t>
                  </w:r>
                </w:p>
              </w:tc>
            </w:tr>
            <w:tr>
              <w:tblPrEx>
                <w:tblCellMar>
                  <w:top w:w="0" w:type="dxa"/>
                  <w:left w:w="108" w:type="dxa"/>
                  <w:bottom w:w="0" w:type="dxa"/>
                  <w:right w:w="108" w:type="dxa"/>
                </w:tblCellMar>
              </w:tblPrEx>
              <w:trPr>
                <w:trHeight w:val="1682" w:hRule="atLeast"/>
              </w:trPr>
              <w:tc>
                <w:tcPr>
                  <w:tcW w:w="533" w:type="dxa"/>
                  <w:tcBorders>
                    <w:top w:val="single" w:color="000000" w:sz="6" w:space="0"/>
                    <w:left w:val="single" w:color="000000" w:sz="12" w:space="0"/>
                    <w:bottom w:val="single" w:color="000000" w:sz="6" w:space="0"/>
                    <w:right w:val="single" w:color="000000" w:sz="6" w:space="0"/>
                  </w:tcBorders>
                  <w:noWrap w:val="0"/>
                  <w:vAlign w:val="center"/>
                </w:tcPr>
                <w:p>
                  <w:pPr>
                    <w:spacing w:line="380" w:lineRule="atLeast"/>
                    <w:jc w:val="center"/>
                    <w:rPr>
                      <w:rFonts w:hint="eastAsia" w:ascii="楷体" w:hAnsi="楷体" w:eastAsia="楷体" w:cs="楷体"/>
                      <w:kern w:val="1"/>
                      <w:szCs w:val="21"/>
                      <w:lang w:eastAsia="zh-CN"/>
                    </w:rPr>
                  </w:pPr>
                  <w:r>
                    <w:rPr>
                      <w:rFonts w:hint="eastAsia" w:ascii="楷体" w:hAnsi="楷体" w:eastAsia="楷体" w:cs="楷体"/>
                      <w:kern w:val="1"/>
                      <w:szCs w:val="21"/>
                      <w:lang w:val="en-US" w:eastAsia="zh-CN"/>
                    </w:rPr>
                    <w:t>1</w:t>
                  </w: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hint="eastAsia" w:ascii="楷体" w:hAnsi="楷体" w:eastAsia="楷体" w:cs="楷体"/>
                      <w:kern w:val="1"/>
                      <w:szCs w:val="21"/>
                    </w:rPr>
                  </w:pPr>
                  <w:r>
                    <w:rPr>
                      <w:rFonts w:hint="eastAsia" w:ascii="楷体" w:hAnsi="楷体" w:eastAsia="楷体" w:cs="楷体"/>
                      <w:kern w:val="1"/>
                      <w:szCs w:val="21"/>
                    </w:rPr>
                    <w:t>火灾</w:t>
                  </w:r>
                </w:p>
              </w:tc>
              <w:tc>
                <w:tcPr>
                  <w:tcW w:w="740"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atLeast"/>
                    <w:jc w:val="center"/>
                    <w:rPr>
                      <w:rFonts w:hint="eastAsia" w:ascii="楷体" w:hAnsi="楷体" w:eastAsia="楷体" w:cs="楷体"/>
                      <w:kern w:val="1"/>
                      <w:szCs w:val="21"/>
                    </w:rPr>
                  </w:pPr>
                  <w:r>
                    <w:rPr>
                      <w:rFonts w:hint="eastAsia" w:ascii="楷体" w:hAnsi="楷体" w:eastAsia="楷体" w:cs="楷体"/>
                      <w:kern w:val="1"/>
                      <w:szCs w:val="21"/>
                    </w:rPr>
                    <w:t>严格控制</w:t>
                  </w:r>
                </w:p>
                <w:p>
                  <w:pPr>
                    <w:spacing w:line="380" w:lineRule="atLeast"/>
                    <w:jc w:val="center"/>
                    <w:rPr>
                      <w:rFonts w:hint="eastAsia" w:ascii="楷体" w:hAnsi="楷体" w:eastAsia="楷体" w:cs="楷体"/>
                      <w:kern w:val="1"/>
                      <w:szCs w:val="21"/>
                    </w:rPr>
                  </w:pPr>
                  <w:r>
                    <w:rPr>
                      <w:rFonts w:hint="eastAsia" w:ascii="楷体" w:hAnsi="楷体" w:eastAsia="楷体" w:cs="楷体"/>
                      <w:kern w:val="1"/>
                      <w:szCs w:val="21"/>
                    </w:rPr>
                    <w:t>防止火灾</w:t>
                  </w:r>
                </w:p>
              </w:tc>
              <w:tc>
                <w:tcPr>
                  <w:tcW w:w="1140"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atLeast"/>
                    <w:rPr>
                      <w:rFonts w:hint="eastAsia" w:ascii="楷体" w:hAnsi="楷体" w:eastAsia="楷体" w:cs="楷体"/>
                      <w:kern w:val="1"/>
                      <w:szCs w:val="21"/>
                    </w:rPr>
                  </w:pPr>
                  <w:r>
                    <w:rPr>
                      <w:rFonts w:hint="eastAsia" w:ascii="楷体" w:hAnsi="楷体" w:eastAsia="楷体" w:cs="楷体"/>
                      <w:kern w:val="1"/>
                      <w:szCs w:val="21"/>
                    </w:rPr>
                    <w:t>火灾事故为零</w:t>
                  </w:r>
                </w:p>
              </w:tc>
              <w:tc>
                <w:tcPr>
                  <w:tcW w:w="2240" w:type="dxa"/>
                  <w:tcBorders>
                    <w:top w:val="single" w:color="000000" w:sz="4" w:space="0"/>
                    <w:left w:val="single" w:color="000000" w:sz="6" w:space="0"/>
                    <w:bottom w:val="single" w:color="000000" w:sz="4" w:space="0"/>
                    <w:right w:val="single" w:color="000000" w:sz="6" w:space="0"/>
                  </w:tcBorders>
                  <w:noWrap w:val="0"/>
                  <w:vAlign w:val="center"/>
                </w:tcPr>
                <w:p>
                  <w:pPr>
                    <w:numPr>
                      <w:ilvl w:val="0"/>
                      <w:numId w:val="1"/>
                    </w:numPr>
                    <w:tabs>
                      <w:tab w:val="left" w:pos="360"/>
                      <w:tab w:val="left" w:pos="10080"/>
                    </w:tabs>
                    <w:spacing w:line="300" w:lineRule="exact"/>
                    <w:ind w:left="360" w:hanging="360"/>
                    <w:rPr>
                      <w:rFonts w:hint="eastAsia" w:ascii="楷体" w:hAnsi="楷体" w:eastAsia="楷体" w:cs="楷体"/>
                      <w:kern w:val="1"/>
                      <w:szCs w:val="21"/>
                    </w:rPr>
                  </w:pPr>
                  <w:r>
                    <w:rPr>
                      <w:rFonts w:hint="eastAsia" w:ascii="楷体" w:hAnsi="楷体" w:eastAsia="楷体" w:cs="楷体"/>
                      <w:kern w:val="1"/>
                      <w:szCs w:val="21"/>
                    </w:rPr>
                    <w:t>制订《应急和响应控制程序》；</w:t>
                  </w:r>
                </w:p>
                <w:p>
                  <w:pPr>
                    <w:numPr>
                      <w:ilvl w:val="0"/>
                      <w:numId w:val="1"/>
                    </w:numPr>
                    <w:tabs>
                      <w:tab w:val="left" w:pos="360"/>
                      <w:tab w:val="left" w:pos="10080"/>
                    </w:tabs>
                    <w:spacing w:line="300" w:lineRule="exact"/>
                    <w:ind w:left="360" w:hanging="360"/>
                    <w:rPr>
                      <w:rFonts w:hint="eastAsia" w:ascii="楷体" w:hAnsi="楷体" w:eastAsia="楷体" w:cs="楷体"/>
                      <w:kern w:val="1"/>
                      <w:szCs w:val="21"/>
                    </w:rPr>
                  </w:pPr>
                  <w:r>
                    <w:rPr>
                      <w:rFonts w:hint="eastAsia" w:ascii="楷体" w:hAnsi="楷体" w:eastAsia="楷体" w:cs="楷体"/>
                      <w:kern w:val="1"/>
                      <w:szCs w:val="21"/>
                    </w:rPr>
                    <w:t>制订《突发环境事件应急预案》；</w:t>
                  </w:r>
                </w:p>
                <w:p>
                  <w:pPr>
                    <w:numPr>
                      <w:ilvl w:val="0"/>
                      <w:numId w:val="1"/>
                    </w:numPr>
                    <w:tabs>
                      <w:tab w:val="left" w:pos="360"/>
                      <w:tab w:val="left" w:pos="10080"/>
                    </w:tabs>
                    <w:spacing w:line="300" w:lineRule="exact"/>
                    <w:ind w:left="360" w:hanging="360"/>
                    <w:rPr>
                      <w:rFonts w:hint="eastAsia" w:ascii="楷体" w:hAnsi="楷体" w:eastAsia="楷体" w:cs="楷体"/>
                      <w:kern w:val="1"/>
                      <w:szCs w:val="21"/>
                    </w:rPr>
                  </w:pPr>
                  <w:r>
                    <w:rPr>
                      <w:rFonts w:hint="eastAsia" w:ascii="楷体" w:hAnsi="楷体" w:eastAsia="楷体" w:cs="楷体"/>
                      <w:kern w:val="1"/>
                      <w:szCs w:val="21"/>
                    </w:rPr>
                    <w:t>加强日常监督检查；</w:t>
                  </w:r>
                </w:p>
                <w:p>
                  <w:pPr>
                    <w:numPr>
                      <w:ilvl w:val="0"/>
                      <w:numId w:val="1"/>
                    </w:numPr>
                    <w:tabs>
                      <w:tab w:val="left" w:pos="360"/>
                      <w:tab w:val="left" w:pos="10080"/>
                    </w:tabs>
                    <w:spacing w:line="300" w:lineRule="exact"/>
                    <w:ind w:left="360" w:hanging="360"/>
                    <w:rPr>
                      <w:rFonts w:hint="eastAsia" w:ascii="楷体" w:hAnsi="楷体" w:eastAsia="楷体" w:cs="楷体"/>
                      <w:kern w:val="1"/>
                      <w:szCs w:val="21"/>
                    </w:rPr>
                  </w:pPr>
                  <w:r>
                    <w:rPr>
                      <w:rFonts w:hint="eastAsia" w:ascii="楷体" w:hAnsi="楷体" w:eastAsia="楷体" w:cs="楷体"/>
                      <w:kern w:val="1"/>
                      <w:szCs w:val="21"/>
                    </w:rPr>
                    <w:t>在主要控制点配备消防设施</w:t>
                  </w:r>
                </w:p>
              </w:tc>
              <w:tc>
                <w:tcPr>
                  <w:tcW w:w="1200" w:type="dxa"/>
                  <w:tcBorders>
                    <w:top w:val="single" w:color="000000" w:sz="4" w:space="0"/>
                    <w:left w:val="single" w:color="000000" w:sz="6" w:space="0"/>
                    <w:bottom w:val="single" w:color="000000" w:sz="4" w:space="0"/>
                    <w:right w:val="single" w:color="000000" w:sz="6" w:space="0"/>
                  </w:tcBorders>
                  <w:noWrap w:val="0"/>
                  <w:vAlign w:val="center"/>
                </w:tcPr>
                <w:p>
                  <w:pPr>
                    <w:spacing w:line="360" w:lineRule="atLeast"/>
                    <w:jc w:val="center"/>
                    <w:rPr>
                      <w:rFonts w:hint="eastAsia" w:ascii="楷体" w:hAnsi="楷体" w:eastAsia="楷体" w:cs="楷体"/>
                      <w:kern w:val="1"/>
                      <w:szCs w:val="21"/>
                    </w:rPr>
                  </w:pPr>
                  <w:r>
                    <w:rPr>
                      <w:rFonts w:hint="eastAsia" w:ascii="楷体" w:hAnsi="楷体" w:eastAsia="楷体" w:cs="楷体"/>
                      <w:kern w:val="1"/>
                      <w:szCs w:val="21"/>
                    </w:rPr>
                    <w:t>20</w:t>
                  </w:r>
                  <w:r>
                    <w:rPr>
                      <w:rFonts w:hint="eastAsia" w:ascii="楷体" w:hAnsi="楷体" w:eastAsia="楷体" w:cs="楷体"/>
                      <w:kern w:val="1"/>
                      <w:szCs w:val="21"/>
                      <w:lang w:val="en-US" w:eastAsia="zh-CN"/>
                    </w:rPr>
                    <w:t>21</w:t>
                  </w:r>
                  <w:r>
                    <w:rPr>
                      <w:rFonts w:hint="eastAsia" w:ascii="楷体" w:hAnsi="楷体" w:eastAsia="楷体" w:cs="楷体"/>
                      <w:kern w:val="1"/>
                      <w:szCs w:val="21"/>
                    </w:rPr>
                    <w:t>.</w:t>
                  </w:r>
                  <w:r>
                    <w:rPr>
                      <w:rFonts w:hint="eastAsia" w:ascii="楷体" w:hAnsi="楷体" w:eastAsia="楷体" w:cs="楷体"/>
                      <w:kern w:val="1"/>
                      <w:szCs w:val="21"/>
                      <w:lang w:val="en-US" w:eastAsia="zh-CN"/>
                    </w:rPr>
                    <w:t>1</w:t>
                  </w:r>
                  <w:r>
                    <w:rPr>
                      <w:rFonts w:hint="eastAsia" w:ascii="楷体" w:hAnsi="楷体" w:eastAsia="楷体" w:cs="楷体"/>
                      <w:kern w:val="1"/>
                      <w:szCs w:val="21"/>
                    </w:rPr>
                    <w:t>-20</w:t>
                  </w:r>
                  <w:r>
                    <w:rPr>
                      <w:rFonts w:hint="eastAsia" w:ascii="楷体" w:hAnsi="楷体" w:eastAsia="楷体" w:cs="楷体"/>
                      <w:kern w:val="1"/>
                      <w:szCs w:val="21"/>
                      <w:lang w:val="en-US" w:eastAsia="zh-CN"/>
                    </w:rPr>
                    <w:t>21</w:t>
                  </w:r>
                  <w:r>
                    <w:rPr>
                      <w:rFonts w:hint="eastAsia" w:ascii="楷体" w:hAnsi="楷体" w:eastAsia="楷体" w:cs="楷体"/>
                      <w:kern w:val="1"/>
                      <w:szCs w:val="21"/>
                    </w:rPr>
                    <w:t>.12</w:t>
                  </w:r>
                </w:p>
              </w:tc>
              <w:tc>
                <w:tcPr>
                  <w:tcW w:w="960" w:type="dxa"/>
                  <w:tcBorders>
                    <w:top w:val="single" w:color="000000" w:sz="4" w:space="0"/>
                    <w:left w:val="single" w:color="000000" w:sz="6" w:space="0"/>
                    <w:bottom w:val="single" w:color="000000" w:sz="4" w:space="0"/>
                    <w:right w:val="single" w:color="000000" w:sz="6" w:space="0"/>
                  </w:tcBorders>
                  <w:noWrap w:val="0"/>
                  <w:vAlign w:val="center"/>
                </w:tcPr>
                <w:p>
                  <w:pPr>
                    <w:spacing w:line="360" w:lineRule="atLeast"/>
                    <w:jc w:val="center"/>
                    <w:rPr>
                      <w:rFonts w:hint="eastAsia" w:ascii="楷体" w:hAnsi="楷体" w:eastAsia="楷体" w:cs="楷体"/>
                      <w:kern w:val="1"/>
                      <w:szCs w:val="21"/>
                    </w:rPr>
                  </w:pPr>
                  <w:r>
                    <w:rPr>
                      <w:rFonts w:hint="eastAsia" w:ascii="楷体" w:hAnsi="楷体" w:eastAsia="楷体" w:cs="楷体"/>
                      <w:kern w:val="1"/>
                      <w:szCs w:val="21"/>
                    </w:rPr>
                    <w:t>3000元</w:t>
                  </w:r>
                </w:p>
              </w:tc>
              <w:tc>
                <w:tcPr>
                  <w:tcW w:w="1030" w:type="dxa"/>
                  <w:tcBorders>
                    <w:top w:val="single" w:color="000000" w:sz="4" w:space="0"/>
                    <w:left w:val="single" w:color="000000" w:sz="6" w:space="0"/>
                    <w:bottom w:val="single" w:color="000000" w:sz="4" w:space="0"/>
                    <w:right w:val="single" w:color="000000" w:sz="6" w:space="0"/>
                  </w:tcBorders>
                  <w:noWrap w:val="0"/>
                  <w:vAlign w:val="center"/>
                </w:tcPr>
                <w:p>
                  <w:pPr>
                    <w:spacing w:line="360" w:lineRule="atLeast"/>
                    <w:jc w:val="center"/>
                    <w:rPr>
                      <w:rFonts w:hint="eastAsia" w:ascii="楷体" w:hAnsi="楷体" w:eastAsia="楷体" w:cs="楷体"/>
                      <w:kern w:val="1"/>
                      <w:szCs w:val="21"/>
                    </w:rPr>
                  </w:pPr>
                  <w:r>
                    <w:rPr>
                      <w:rFonts w:hint="eastAsia" w:ascii="楷体" w:hAnsi="楷体" w:eastAsia="楷体" w:cs="楷体"/>
                      <w:kern w:val="1"/>
                      <w:szCs w:val="21"/>
                    </w:rPr>
                    <w:t>各部门</w:t>
                  </w:r>
                </w:p>
              </w:tc>
              <w:tc>
                <w:tcPr>
                  <w:tcW w:w="920" w:type="dxa"/>
                  <w:tcBorders>
                    <w:top w:val="single" w:color="000000" w:sz="4" w:space="0"/>
                    <w:left w:val="single" w:color="000000" w:sz="6" w:space="0"/>
                    <w:bottom w:val="single" w:color="000000" w:sz="4" w:space="0"/>
                    <w:right w:val="single" w:color="000000" w:sz="12" w:space="0"/>
                  </w:tcBorders>
                  <w:noWrap w:val="0"/>
                  <w:vAlign w:val="center"/>
                </w:tcPr>
                <w:p>
                  <w:pPr>
                    <w:widowControl/>
                    <w:jc w:val="center"/>
                    <w:rPr>
                      <w:rFonts w:hint="eastAsia" w:ascii="楷体" w:hAnsi="楷体" w:eastAsia="楷体" w:cs="楷体"/>
                      <w:kern w:val="1"/>
                      <w:szCs w:val="21"/>
                    </w:rPr>
                  </w:pPr>
                  <w:r>
                    <w:rPr>
                      <w:rFonts w:hint="eastAsia" w:ascii="楷体" w:hAnsi="楷体" w:eastAsia="楷体" w:cs="楷体"/>
                      <w:kern w:val="1"/>
                      <w:szCs w:val="21"/>
                    </w:rPr>
                    <w:t>综合部</w:t>
                  </w:r>
                </w:p>
              </w:tc>
            </w:tr>
            <w:tr>
              <w:tblPrEx>
                <w:tblCellMar>
                  <w:top w:w="0" w:type="dxa"/>
                  <w:left w:w="108" w:type="dxa"/>
                  <w:bottom w:w="0" w:type="dxa"/>
                  <w:right w:w="108" w:type="dxa"/>
                </w:tblCellMar>
              </w:tblPrEx>
              <w:trPr>
                <w:trHeight w:val="1827" w:hRule="atLeast"/>
              </w:trPr>
              <w:tc>
                <w:tcPr>
                  <w:tcW w:w="533" w:type="dxa"/>
                  <w:tcBorders>
                    <w:top w:val="single" w:color="000000" w:sz="6" w:space="0"/>
                    <w:left w:val="single" w:color="000000" w:sz="12" w:space="0"/>
                    <w:bottom w:val="single" w:color="000000" w:sz="6" w:space="0"/>
                    <w:right w:val="single" w:color="000000" w:sz="6" w:space="0"/>
                  </w:tcBorders>
                  <w:noWrap w:val="0"/>
                  <w:vAlign w:val="center"/>
                </w:tcPr>
                <w:p>
                  <w:pPr>
                    <w:spacing w:line="380" w:lineRule="atLeast"/>
                    <w:jc w:val="center"/>
                    <w:rPr>
                      <w:rFonts w:hint="eastAsia" w:ascii="楷体" w:hAnsi="楷体" w:eastAsia="楷体" w:cs="楷体"/>
                      <w:kern w:val="1"/>
                      <w:szCs w:val="21"/>
                      <w:lang w:eastAsia="zh-CN"/>
                    </w:rPr>
                  </w:pPr>
                  <w:r>
                    <w:rPr>
                      <w:rFonts w:hint="eastAsia" w:ascii="楷体" w:hAnsi="楷体" w:eastAsia="楷体" w:cs="楷体"/>
                      <w:kern w:val="1"/>
                      <w:szCs w:val="21"/>
                      <w:lang w:val="en-US" w:eastAsia="zh-CN"/>
                    </w:rPr>
                    <w:t>2</w:t>
                  </w: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rPr>
                      <w:rFonts w:hint="eastAsia" w:ascii="楷体" w:hAnsi="楷体" w:eastAsia="楷体" w:cs="楷体"/>
                      <w:kern w:val="1"/>
                      <w:szCs w:val="21"/>
                    </w:rPr>
                  </w:pPr>
                  <w:r>
                    <w:rPr>
                      <w:rFonts w:hint="eastAsia" w:ascii="楷体" w:hAnsi="楷体" w:eastAsia="楷体" w:cs="楷体"/>
                      <w:kern w:val="1"/>
                      <w:szCs w:val="21"/>
                    </w:rPr>
                    <w:t>固体废弃物的排放</w:t>
                  </w:r>
                </w:p>
              </w:tc>
              <w:tc>
                <w:tcPr>
                  <w:tcW w:w="740"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atLeast"/>
                    <w:rPr>
                      <w:rFonts w:hint="eastAsia" w:ascii="楷体" w:hAnsi="楷体" w:eastAsia="楷体" w:cs="楷体"/>
                      <w:kern w:val="1"/>
                      <w:szCs w:val="21"/>
                    </w:rPr>
                  </w:pPr>
                  <w:r>
                    <w:rPr>
                      <w:rFonts w:hint="eastAsia" w:ascii="楷体" w:hAnsi="楷体" w:eastAsia="楷体" w:cs="楷体"/>
                      <w:kern w:val="1"/>
                      <w:szCs w:val="21"/>
                    </w:rPr>
                    <w:t>固体废物分类归集，统一处理</w:t>
                  </w:r>
                </w:p>
              </w:tc>
              <w:tc>
                <w:tcPr>
                  <w:tcW w:w="1140" w:type="dxa"/>
                  <w:tcBorders>
                    <w:top w:val="single" w:color="000000" w:sz="6" w:space="0"/>
                    <w:left w:val="single" w:color="000000" w:sz="6" w:space="0"/>
                    <w:bottom w:val="single" w:color="000000" w:sz="6" w:space="0"/>
                    <w:right w:val="single" w:color="000000" w:sz="6" w:space="0"/>
                  </w:tcBorders>
                  <w:noWrap w:val="0"/>
                  <w:vAlign w:val="center"/>
                </w:tcPr>
                <w:p>
                  <w:pPr>
                    <w:spacing w:line="380" w:lineRule="atLeast"/>
                    <w:rPr>
                      <w:rFonts w:hint="eastAsia" w:ascii="楷体" w:hAnsi="楷体" w:eastAsia="楷体" w:cs="楷体"/>
                      <w:kern w:val="1"/>
                      <w:szCs w:val="21"/>
                    </w:rPr>
                  </w:pPr>
                  <w:r>
                    <w:rPr>
                      <w:rFonts w:hint="eastAsia" w:ascii="楷体" w:hAnsi="楷体" w:eastAsia="楷体" w:cs="楷体"/>
                      <w:kern w:val="1"/>
                      <w:szCs w:val="21"/>
                    </w:rPr>
                    <w:t>达标率100%</w:t>
                  </w:r>
                </w:p>
              </w:tc>
              <w:tc>
                <w:tcPr>
                  <w:tcW w:w="2240" w:type="dxa"/>
                  <w:tcBorders>
                    <w:top w:val="single" w:color="000000" w:sz="4" w:space="0"/>
                    <w:left w:val="single" w:color="000000" w:sz="6" w:space="0"/>
                    <w:bottom w:val="single" w:color="000000" w:sz="4" w:space="0"/>
                    <w:right w:val="single" w:color="000000" w:sz="6" w:space="0"/>
                  </w:tcBorders>
                  <w:noWrap w:val="0"/>
                  <w:vAlign w:val="center"/>
                </w:tcPr>
                <w:p>
                  <w:pPr>
                    <w:spacing w:line="380" w:lineRule="atLeast"/>
                    <w:ind w:left="210" w:hanging="210"/>
                    <w:rPr>
                      <w:rFonts w:hint="eastAsia" w:ascii="楷体" w:hAnsi="楷体" w:eastAsia="楷体" w:cs="楷体"/>
                      <w:kern w:val="1"/>
                      <w:szCs w:val="21"/>
                    </w:rPr>
                  </w:pPr>
                  <w:r>
                    <w:rPr>
                      <w:rFonts w:hint="eastAsia" w:ascii="楷体" w:hAnsi="楷体" w:eastAsia="楷体" w:cs="楷体"/>
                      <w:kern w:val="1"/>
                      <w:szCs w:val="21"/>
                    </w:rPr>
                    <w:t>1.坚持文明生产，建立管理制度，各部门明确负责人；</w:t>
                  </w:r>
                </w:p>
                <w:p>
                  <w:pPr>
                    <w:spacing w:line="380" w:lineRule="atLeast"/>
                    <w:ind w:left="210" w:hanging="210"/>
                    <w:rPr>
                      <w:rFonts w:hint="eastAsia" w:ascii="楷体" w:hAnsi="楷体" w:eastAsia="楷体" w:cs="楷体"/>
                      <w:kern w:val="1"/>
                      <w:szCs w:val="21"/>
                    </w:rPr>
                  </w:pPr>
                  <w:r>
                    <w:rPr>
                      <w:rFonts w:hint="eastAsia" w:ascii="楷体" w:hAnsi="楷体" w:eastAsia="楷体" w:cs="楷体"/>
                      <w:kern w:val="1"/>
                      <w:szCs w:val="21"/>
                    </w:rPr>
                    <w:t>2.购买垃圾箱，分别放置可回收、不可回收固体废弃物；</w:t>
                  </w:r>
                </w:p>
                <w:p>
                  <w:pPr>
                    <w:spacing w:line="380" w:lineRule="atLeast"/>
                    <w:ind w:left="210" w:hanging="210"/>
                    <w:rPr>
                      <w:rFonts w:hint="eastAsia" w:ascii="楷体" w:hAnsi="楷体" w:eastAsia="楷体" w:cs="楷体"/>
                      <w:kern w:val="1"/>
                      <w:szCs w:val="21"/>
                    </w:rPr>
                  </w:pPr>
                  <w:r>
                    <w:rPr>
                      <w:rFonts w:hint="eastAsia" w:ascii="楷体" w:hAnsi="楷体" w:eastAsia="楷体" w:cs="楷体"/>
                      <w:kern w:val="1"/>
                      <w:szCs w:val="21"/>
                    </w:rPr>
                    <w:t>3、危险废物交有资质的单位回收处置</w:t>
                  </w:r>
                </w:p>
              </w:tc>
              <w:tc>
                <w:tcPr>
                  <w:tcW w:w="1200" w:type="dxa"/>
                  <w:tcBorders>
                    <w:top w:val="single" w:color="000000" w:sz="4" w:space="0"/>
                    <w:left w:val="single" w:color="000000" w:sz="6" w:space="0"/>
                    <w:bottom w:val="single" w:color="000000" w:sz="4" w:space="0"/>
                    <w:right w:val="single" w:color="000000" w:sz="6" w:space="0"/>
                  </w:tcBorders>
                  <w:noWrap w:val="0"/>
                  <w:vAlign w:val="center"/>
                </w:tcPr>
                <w:p>
                  <w:pPr>
                    <w:spacing w:line="380" w:lineRule="atLeast"/>
                    <w:jc w:val="center"/>
                    <w:rPr>
                      <w:rFonts w:hint="eastAsia" w:ascii="楷体" w:hAnsi="楷体" w:eastAsia="楷体" w:cs="楷体"/>
                      <w:kern w:val="1"/>
                      <w:szCs w:val="21"/>
                    </w:rPr>
                  </w:pPr>
                  <w:r>
                    <w:rPr>
                      <w:rFonts w:hint="eastAsia" w:ascii="楷体" w:hAnsi="楷体" w:eastAsia="楷体" w:cs="楷体"/>
                      <w:kern w:val="1"/>
                      <w:szCs w:val="21"/>
                    </w:rPr>
                    <w:t>20</w:t>
                  </w:r>
                  <w:r>
                    <w:rPr>
                      <w:rFonts w:hint="eastAsia" w:ascii="楷体" w:hAnsi="楷体" w:eastAsia="楷体" w:cs="楷体"/>
                      <w:kern w:val="1"/>
                      <w:szCs w:val="21"/>
                      <w:lang w:val="en-US" w:eastAsia="zh-CN"/>
                    </w:rPr>
                    <w:t>21</w:t>
                  </w:r>
                  <w:r>
                    <w:rPr>
                      <w:rFonts w:hint="eastAsia" w:ascii="楷体" w:hAnsi="楷体" w:eastAsia="楷体" w:cs="楷体"/>
                      <w:kern w:val="1"/>
                      <w:szCs w:val="21"/>
                    </w:rPr>
                    <w:t>.</w:t>
                  </w:r>
                  <w:r>
                    <w:rPr>
                      <w:rFonts w:hint="eastAsia" w:ascii="楷体" w:hAnsi="楷体" w:eastAsia="楷体" w:cs="楷体"/>
                      <w:kern w:val="1"/>
                      <w:szCs w:val="21"/>
                      <w:lang w:val="en-US" w:eastAsia="zh-CN"/>
                    </w:rPr>
                    <w:t>1</w:t>
                  </w:r>
                  <w:r>
                    <w:rPr>
                      <w:rFonts w:hint="eastAsia" w:ascii="楷体" w:hAnsi="楷体" w:eastAsia="楷体" w:cs="楷体"/>
                      <w:kern w:val="1"/>
                      <w:szCs w:val="21"/>
                    </w:rPr>
                    <w:t>-20</w:t>
                  </w:r>
                  <w:r>
                    <w:rPr>
                      <w:rFonts w:hint="eastAsia" w:ascii="楷体" w:hAnsi="楷体" w:eastAsia="楷体" w:cs="楷体"/>
                      <w:kern w:val="1"/>
                      <w:szCs w:val="21"/>
                      <w:lang w:val="en-US" w:eastAsia="zh-CN"/>
                    </w:rPr>
                    <w:t>21</w:t>
                  </w:r>
                  <w:r>
                    <w:rPr>
                      <w:rFonts w:hint="eastAsia" w:ascii="楷体" w:hAnsi="楷体" w:eastAsia="楷体" w:cs="楷体"/>
                      <w:kern w:val="1"/>
                      <w:szCs w:val="21"/>
                    </w:rPr>
                    <w:t>.12</w:t>
                  </w:r>
                </w:p>
              </w:tc>
              <w:tc>
                <w:tcPr>
                  <w:tcW w:w="960" w:type="dxa"/>
                  <w:tcBorders>
                    <w:top w:val="single" w:color="000000" w:sz="4" w:space="0"/>
                    <w:left w:val="single" w:color="000000" w:sz="6" w:space="0"/>
                    <w:bottom w:val="single" w:color="000000" w:sz="4" w:space="0"/>
                    <w:right w:val="single" w:color="000000" w:sz="6" w:space="0"/>
                  </w:tcBorders>
                  <w:noWrap w:val="0"/>
                  <w:vAlign w:val="center"/>
                </w:tcPr>
                <w:p>
                  <w:pPr>
                    <w:spacing w:line="380" w:lineRule="atLeast"/>
                    <w:jc w:val="center"/>
                    <w:rPr>
                      <w:rFonts w:hint="eastAsia" w:ascii="楷体" w:hAnsi="楷体" w:eastAsia="楷体" w:cs="楷体"/>
                      <w:kern w:val="1"/>
                      <w:szCs w:val="21"/>
                    </w:rPr>
                  </w:pPr>
                  <w:r>
                    <w:rPr>
                      <w:rFonts w:hint="eastAsia" w:ascii="楷体" w:hAnsi="楷体" w:eastAsia="楷体" w:cs="楷体"/>
                      <w:kern w:val="1"/>
                      <w:szCs w:val="21"/>
                    </w:rPr>
                    <w:t>1000元</w:t>
                  </w:r>
                </w:p>
              </w:tc>
              <w:tc>
                <w:tcPr>
                  <w:tcW w:w="1030" w:type="dxa"/>
                  <w:tcBorders>
                    <w:top w:val="single" w:color="000000" w:sz="4" w:space="0"/>
                    <w:left w:val="single" w:color="000000" w:sz="6" w:space="0"/>
                    <w:bottom w:val="single" w:color="000000" w:sz="4" w:space="0"/>
                    <w:right w:val="single" w:color="000000" w:sz="6" w:space="0"/>
                  </w:tcBorders>
                  <w:noWrap w:val="0"/>
                  <w:vAlign w:val="center"/>
                </w:tcPr>
                <w:p>
                  <w:pPr>
                    <w:widowControl/>
                    <w:jc w:val="center"/>
                    <w:rPr>
                      <w:rFonts w:hint="eastAsia" w:ascii="楷体" w:hAnsi="楷体" w:eastAsia="楷体" w:cs="楷体"/>
                      <w:kern w:val="1"/>
                      <w:szCs w:val="21"/>
                    </w:rPr>
                  </w:pPr>
                  <w:r>
                    <w:rPr>
                      <w:rFonts w:hint="eastAsia" w:ascii="楷体" w:hAnsi="楷体" w:eastAsia="楷体" w:cs="楷体"/>
                      <w:kern w:val="1"/>
                      <w:szCs w:val="21"/>
                    </w:rPr>
                    <w:t>各部门</w:t>
                  </w:r>
                </w:p>
              </w:tc>
              <w:tc>
                <w:tcPr>
                  <w:tcW w:w="920" w:type="dxa"/>
                  <w:tcBorders>
                    <w:top w:val="single" w:color="000000" w:sz="4" w:space="0"/>
                    <w:left w:val="single" w:color="000000" w:sz="6" w:space="0"/>
                    <w:bottom w:val="single" w:color="000000" w:sz="4" w:space="0"/>
                    <w:right w:val="single" w:color="000000" w:sz="12" w:space="0"/>
                  </w:tcBorders>
                  <w:noWrap w:val="0"/>
                  <w:vAlign w:val="center"/>
                </w:tcPr>
                <w:p>
                  <w:pPr>
                    <w:widowControl/>
                    <w:jc w:val="center"/>
                    <w:rPr>
                      <w:rFonts w:hint="eastAsia" w:ascii="楷体" w:hAnsi="楷体" w:eastAsia="楷体" w:cs="楷体"/>
                      <w:kern w:val="1"/>
                      <w:szCs w:val="21"/>
                    </w:rPr>
                  </w:pPr>
                  <w:r>
                    <w:rPr>
                      <w:rFonts w:hint="eastAsia" w:ascii="楷体" w:hAnsi="楷体" w:eastAsia="楷体" w:cs="楷体"/>
                      <w:kern w:val="1"/>
                      <w:szCs w:val="21"/>
                    </w:rPr>
                    <w:t>综合部</w:t>
                  </w:r>
                </w:p>
              </w:tc>
            </w:tr>
            <w:tr>
              <w:tblPrEx>
                <w:tblCellMar>
                  <w:top w:w="0" w:type="dxa"/>
                  <w:left w:w="108" w:type="dxa"/>
                  <w:bottom w:w="0" w:type="dxa"/>
                  <w:right w:w="108" w:type="dxa"/>
                </w:tblCellMar>
              </w:tblPrEx>
              <w:trPr>
                <w:trHeight w:val="1414" w:hRule="atLeast"/>
              </w:trPr>
              <w:tc>
                <w:tcPr>
                  <w:tcW w:w="533" w:type="dxa"/>
                  <w:tcBorders>
                    <w:top w:val="single" w:color="000000" w:sz="6" w:space="0"/>
                    <w:left w:val="single" w:color="000000" w:sz="12" w:space="0"/>
                    <w:bottom w:val="single" w:color="000000" w:sz="12" w:space="0"/>
                    <w:right w:val="single" w:color="000000" w:sz="6" w:space="0"/>
                  </w:tcBorders>
                  <w:noWrap w:val="0"/>
                  <w:vAlign w:val="center"/>
                </w:tcPr>
                <w:p>
                  <w:pPr>
                    <w:spacing w:line="380" w:lineRule="atLeast"/>
                    <w:jc w:val="center"/>
                    <w:rPr>
                      <w:rFonts w:hint="eastAsia" w:ascii="楷体" w:hAnsi="楷体" w:eastAsia="楷体" w:cs="楷体"/>
                      <w:kern w:val="1"/>
                      <w:szCs w:val="21"/>
                      <w:lang w:eastAsia="zh-CN"/>
                    </w:rPr>
                  </w:pPr>
                  <w:r>
                    <w:rPr>
                      <w:rFonts w:hint="eastAsia" w:ascii="楷体" w:hAnsi="楷体" w:eastAsia="楷体" w:cs="楷体"/>
                      <w:kern w:val="1"/>
                      <w:szCs w:val="21"/>
                      <w:lang w:val="en-US" w:eastAsia="zh-CN"/>
                    </w:rPr>
                    <w:t>3</w:t>
                  </w:r>
                </w:p>
              </w:tc>
              <w:tc>
                <w:tcPr>
                  <w:tcW w:w="652" w:type="dxa"/>
                  <w:tcBorders>
                    <w:top w:val="single" w:color="000000" w:sz="6" w:space="0"/>
                    <w:left w:val="single" w:color="000000" w:sz="6" w:space="0"/>
                    <w:bottom w:val="single" w:color="000000" w:sz="12" w:space="0"/>
                    <w:right w:val="single" w:color="000000" w:sz="6" w:space="0"/>
                  </w:tcBorders>
                  <w:noWrap w:val="0"/>
                  <w:vAlign w:val="center"/>
                </w:tcPr>
                <w:p>
                  <w:pPr>
                    <w:spacing w:line="400" w:lineRule="atLeast"/>
                    <w:rPr>
                      <w:rFonts w:hint="eastAsia" w:ascii="楷体" w:hAnsi="楷体" w:eastAsia="楷体" w:cs="楷体"/>
                      <w:kern w:val="1"/>
                      <w:szCs w:val="21"/>
                    </w:rPr>
                  </w:pPr>
                  <w:r>
                    <w:rPr>
                      <w:rFonts w:hint="eastAsia" w:ascii="楷体" w:hAnsi="楷体" w:eastAsia="楷体" w:cs="楷体"/>
                      <w:kern w:val="1"/>
                      <w:szCs w:val="21"/>
                    </w:rPr>
                    <w:t>噪声的排放</w:t>
                  </w:r>
                </w:p>
              </w:tc>
              <w:tc>
                <w:tcPr>
                  <w:tcW w:w="740" w:type="dxa"/>
                  <w:tcBorders>
                    <w:top w:val="single" w:color="000000" w:sz="6" w:space="0"/>
                    <w:left w:val="single" w:color="000000" w:sz="6" w:space="0"/>
                    <w:bottom w:val="single" w:color="000000" w:sz="12" w:space="0"/>
                    <w:right w:val="single" w:color="000000" w:sz="6" w:space="0"/>
                  </w:tcBorders>
                  <w:noWrap w:val="0"/>
                  <w:vAlign w:val="center"/>
                </w:tcPr>
                <w:p>
                  <w:pPr>
                    <w:spacing w:line="380" w:lineRule="atLeast"/>
                    <w:rPr>
                      <w:rFonts w:hint="eastAsia" w:ascii="楷体" w:hAnsi="楷体" w:eastAsia="楷体" w:cs="楷体"/>
                      <w:kern w:val="1"/>
                      <w:szCs w:val="21"/>
                    </w:rPr>
                  </w:pPr>
                  <w:r>
                    <w:rPr>
                      <w:rFonts w:hint="eastAsia" w:ascii="楷体" w:hAnsi="楷体" w:eastAsia="楷体" w:cs="楷体"/>
                      <w:kern w:val="1"/>
                      <w:szCs w:val="21"/>
                    </w:rPr>
                    <w:t>达标排放</w:t>
                  </w:r>
                </w:p>
              </w:tc>
              <w:tc>
                <w:tcPr>
                  <w:tcW w:w="1140" w:type="dxa"/>
                  <w:tcBorders>
                    <w:top w:val="single" w:color="000000" w:sz="6" w:space="0"/>
                    <w:left w:val="single" w:color="000000" w:sz="6" w:space="0"/>
                    <w:bottom w:val="single" w:color="000000" w:sz="12" w:space="0"/>
                    <w:right w:val="single" w:color="000000" w:sz="6" w:space="0"/>
                  </w:tcBorders>
                  <w:noWrap w:val="0"/>
                  <w:vAlign w:val="center"/>
                </w:tcPr>
                <w:p>
                  <w:pPr>
                    <w:spacing w:line="360" w:lineRule="atLeast"/>
                    <w:rPr>
                      <w:rFonts w:hint="eastAsia" w:ascii="楷体" w:hAnsi="楷体" w:eastAsia="楷体" w:cs="楷体"/>
                      <w:kern w:val="1"/>
                      <w:szCs w:val="21"/>
                    </w:rPr>
                  </w:pPr>
                  <w:r>
                    <w:rPr>
                      <w:rFonts w:hint="eastAsia" w:ascii="楷体" w:hAnsi="楷体" w:eastAsia="楷体" w:cs="楷体"/>
                      <w:kern w:val="1"/>
                      <w:szCs w:val="21"/>
                    </w:rPr>
                    <w:t>工业企业厂界噪声标（GB12348-2008）</w:t>
                  </w:r>
                </w:p>
              </w:tc>
              <w:tc>
                <w:tcPr>
                  <w:tcW w:w="2240" w:type="dxa"/>
                  <w:tcBorders>
                    <w:top w:val="single" w:color="000000" w:sz="4" w:space="0"/>
                    <w:left w:val="single" w:color="000000" w:sz="6" w:space="0"/>
                    <w:bottom w:val="single" w:color="000000" w:sz="4" w:space="0"/>
                    <w:right w:val="single" w:color="000000" w:sz="6" w:space="0"/>
                  </w:tcBorders>
                  <w:noWrap w:val="0"/>
                  <w:vAlign w:val="center"/>
                </w:tcPr>
                <w:p>
                  <w:pPr>
                    <w:spacing w:line="360" w:lineRule="atLeast"/>
                    <w:rPr>
                      <w:rFonts w:hint="eastAsia" w:ascii="楷体" w:hAnsi="楷体" w:eastAsia="楷体" w:cs="楷体"/>
                      <w:kern w:val="1"/>
                      <w:szCs w:val="21"/>
                    </w:rPr>
                  </w:pPr>
                  <w:r>
                    <w:rPr>
                      <w:rFonts w:hint="eastAsia" w:ascii="楷体" w:hAnsi="楷体" w:eastAsia="楷体" w:cs="楷体"/>
                      <w:kern w:val="1"/>
                      <w:szCs w:val="21"/>
                    </w:rPr>
                    <w:t>1、合理安排生产工序,保持设备正常运转</w:t>
                  </w:r>
                </w:p>
                <w:p>
                  <w:pPr>
                    <w:spacing w:line="360" w:lineRule="atLeast"/>
                    <w:rPr>
                      <w:rFonts w:hint="eastAsia" w:ascii="楷体" w:hAnsi="楷体" w:eastAsia="楷体" w:cs="楷体"/>
                      <w:kern w:val="1"/>
                    </w:rPr>
                  </w:pPr>
                  <w:r>
                    <w:rPr>
                      <w:rFonts w:hint="eastAsia" w:ascii="楷体" w:hAnsi="楷体" w:eastAsia="楷体" w:cs="楷体"/>
                      <w:kern w:val="1"/>
                    </w:rPr>
                    <w:t>2、加强设备维护保养；</w:t>
                  </w:r>
                </w:p>
                <w:p>
                  <w:pPr>
                    <w:spacing w:line="360" w:lineRule="atLeast"/>
                    <w:rPr>
                      <w:rFonts w:hint="eastAsia" w:ascii="楷体" w:hAnsi="楷体" w:eastAsia="楷体" w:cs="楷体"/>
                      <w:kern w:val="1"/>
                      <w:szCs w:val="21"/>
                    </w:rPr>
                  </w:pPr>
                  <w:r>
                    <w:rPr>
                      <w:rFonts w:hint="eastAsia" w:ascii="楷体" w:hAnsi="楷体" w:eastAsia="楷体" w:cs="楷体"/>
                      <w:kern w:val="1"/>
                    </w:rPr>
                    <w:t>3、必要的隔噪措施和生产区域封闭。</w:t>
                  </w:r>
                </w:p>
              </w:tc>
              <w:tc>
                <w:tcPr>
                  <w:tcW w:w="1200" w:type="dxa"/>
                  <w:tcBorders>
                    <w:top w:val="single" w:color="000000" w:sz="4" w:space="0"/>
                    <w:left w:val="single" w:color="000000" w:sz="6" w:space="0"/>
                    <w:bottom w:val="single" w:color="000000" w:sz="4" w:space="0"/>
                    <w:right w:val="single" w:color="000000" w:sz="6" w:space="0"/>
                  </w:tcBorders>
                  <w:noWrap w:val="0"/>
                  <w:vAlign w:val="center"/>
                </w:tcPr>
                <w:p>
                  <w:pPr>
                    <w:spacing w:line="380" w:lineRule="atLeast"/>
                    <w:jc w:val="center"/>
                    <w:rPr>
                      <w:rFonts w:hint="eastAsia" w:ascii="楷体" w:hAnsi="楷体" w:eastAsia="楷体" w:cs="楷体"/>
                      <w:kern w:val="1"/>
                      <w:szCs w:val="21"/>
                    </w:rPr>
                  </w:pPr>
                  <w:r>
                    <w:rPr>
                      <w:rFonts w:hint="eastAsia" w:ascii="楷体" w:hAnsi="楷体" w:eastAsia="楷体" w:cs="楷体"/>
                      <w:kern w:val="1"/>
                      <w:szCs w:val="21"/>
                    </w:rPr>
                    <w:t>20</w:t>
                  </w:r>
                  <w:r>
                    <w:rPr>
                      <w:rFonts w:hint="eastAsia" w:ascii="楷体" w:hAnsi="楷体" w:eastAsia="楷体" w:cs="楷体"/>
                      <w:kern w:val="1"/>
                      <w:szCs w:val="21"/>
                      <w:lang w:val="en-US" w:eastAsia="zh-CN"/>
                    </w:rPr>
                    <w:t>21</w:t>
                  </w:r>
                  <w:r>
                    <w:rPr>
                      <w:rFonts w:hint="eastAsia" w:ascii="楷体" w:hAnsi="楷体" w:eastAsia="楷体" w:cs="楷体"/>
                      <w:kern w:val="1"/>
                      <w:szCs w:val="21"/>
                    </w:rPr>
                    <w:t>.</w:t>
                  </w:r>
                  <w:r>
                    <w:rPr>
                      <w:rFonts w:hint="eastAsia" w:ascii="楷体" w:hAnsi="楷体" w:eastAsia="楷体" w:cs="楷体"/>
                      <w:kern w:val="1"/>
                      <w:szCs w:val="21"/>
                      <w:lang w:val="en-US" w:eastAsia="zh-CN"/>
                    </w:rPr>
                    <w:t>1</w:t>
                  </w:r>
                  <w:r>
                    <w:rPr>
                      <w:rFonts w:hint="eastAsia" w:ascii="楷体" w:hAnsi="楷体" w:eastAsia="楷体" w:cs="楷体"/>
                      <w:kern w:val="1"/>
                      <w:szCs w:val="21"/>
                    </w:rPr>
                    <w:t>-20</w:t>
                  </w:r>
                  <w:r>
                    <w:rPr>
                      <w:rFonts w:hint="eastAsia" w:ascii="楷体" w:hAnsi="楷体" w:eastAsia="楷体" w:cs="楷体"/>
                      <w:kern w:val="1"/>
                      <w:szCs w:val="21"/>
                      <w:lang w:val="en-US" w:eastAsia="zh-CN"/>
                    </w:rPr>
                    <w:t>21</w:t>
                  </w:r>
                  <w:r>
                    <w:rPr>
                      <w:rFonts w:hint="eastAsia" w:ascii="楷体" w:hAnsi="楷体" w:eastAsia="楷体" w:cs="楷体"/>
                      <w:kern w:val="1"/>
                      <w:szCs w:val="21"/>
                    </w:rPr>
                    <w:t>.12</w:t>
                  </w:r>
                </w:p>
              </w:tc>
              <w:tc>
                <w:tcPr>
                  <w:tcW w:w="960" w:type="dxa"/>
                  <w:tcBorders>
                    <w:top w:val="single" w:color="000000" w:sz="4" w:space="0"/>
                    <w:left w:val="single" w:color="000000" w:sz="6" w:space="0"/>
                    <w:bottom w:val="single" w:color="000000" w:sz="4" w:space="0"/>
                    <w:right w:val="single" w:color="000000" w:sz="6" w:space="0"/>
                  </w:tcBorders>
                  <w:noWrap w:val="0"/>
                  <w:vAlign w:val="center"/>
                </w:tcPr>
                <w:p>
                  <w:pPr>
                    <w:spacing w:line="380" w:lineRule="atLeast"/>
                    <w:jc w:val="center"/>
                    <w:rPr>
                      <w:rFonts w:hint="eastAsia" w:ascii="楷体" w:hAnsi="楷体" w:eastAsia="楷体" w:cs="楷体"/>
                      <w:kern w:val="1"/>
                      <w:szCs w:val="21"/>
                    </w:rPr>
                  </w:pPr>
                  <w:r>
                    <w:rPr>
                      <w:rFonts w:hint="eastAsia" w:ascii="楷体" w:hAnsi="楷体" w:eastAsia="楷体" w:cs="楷体"/>
                      <w:kern w:val="1"/>
                      <w:szCs w:val="21"/>
                    </w:rPr>
                    <w:t>5000元</w:t>
                  </w:r>
                </w:p>
              </w:tc>
              <w:tc>
                <w:tcPr>
                  <w:tcW w:w="1030" w:type="dxa"/>
                  <w:tcBorders>
                    <w:top w:val="single" w:color="000000" w:sz="4" w:space="0"/>
                    <w:left w:val="single" w:color="000000" w:sz="6" w:space="0"/>
                    <w:bottom w:val="single" w:color="000000" w:sz="4" w:space="0"/>
                    <w:right w:val="single" w:color="000000" w:sz="6" w:space="0"/>
                  </w:tcBorders>
                  <w:noWrap w:val="0"/>
                  <w:vAlign w:val="center"/>
                </w:tcPr>
                <w:p>
                  <w:pPr>
                    <w:widowControl/>
                    <w:jc w:val="center"/>
                    <w:rPr>
                      <w:rFonts w:hint="eastAsia" w:ascii="楷体" w:hAnsi="楷体" w:eastAsia="楷体" w:cs="楷体"/>
                      <w:kern w:val="1"/>
                      <w:szCs w:val="21"/>
                    </w:rPr>
                  </w:pPr>
                  <w:r>
                    <w:rPr>
                      <w:rFonts w:hint="eastAsia" w:ascii="楷体" w:hAnsi="楷体" w:eastAsia="楷体" w:cs="楷体"/>
                      <w:kern w:val="1"/>
                      <w:szCs w:val="21"/>
                    </w:rPr>
                    <w:t>生产部</w:t>
                  </w:r>
                </w:p>
              </w:tc>
              <w:tc>
                <w:tcPr>
                  <w:tcW w:w="920" w:type="dxa"/>
                  <w:tcBorders>
                    <w:top w:val="single" w:color="000000" w:sz="4" w:space="0"/>
                    <w:left w:val="single" w:color="000000" w:sz="6" w:space="0"/>
                    <w:bottom w:val="single" w:color="000000" w:sz="4" w:space="0"/>
                    <w:right w:val="single" w:color="000000" w:sz="12" w:space="0"/>
                  </w:tcBorders>
                  <w:noWrap w:val="0"/>
                  <w:vAlign w:val="center"/>
                </w:tcPr>
                <w:p>
                  <w:pPr>
                    <w:widowControl/>
                    <w:jc w:val="center"/>
                    <w:rPr>
                      <w:rFonts w:hint="eastAsia" w:ascii="楷体" w:hAnsi="楷体" w:eastAsia="楷体" w:cs="楷体"/>
                      <w:kern w:val="1"/>
                      <w:szCs w:val="21"/>
                    </w:rPr>
                  </w:pPr>
                  <w:r>
                    <w:rPr>
                      <w:rFonts w:hint="eastAsia" w:ascii="楷体" w:hAnsi="楷体" w:eastAsia="楷体" w:cs="楷体"/>
                      <w:kern w:val="1"/>
                      <w:szCs w:val="21"/>
                    </w:rPr>
                    <w:t>综合部</w:t>
                  </w:r>
                </w:p>
              </w:tc>
            </w:tr>
          </w:tbl>
          <w:p>
            <w:pPr>
              <w:spacing w:line="360" w:lineRule="auto"/>
              <w:rPr>
                <w:rFonts w:hint="eastAsia" w:ascii="楷体" w:hAnsi="楷体" w:eastAsia="楷体" w:cs="楷体"/>
                <w:szCs w:val="24"/>
                <w:lang w:val="en-US" w:eastAsia="zh-CN"/>
              </w:rPr>
            </w:pP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09" w:type="dxa"/>
            <w:vAlign w:val="center"/>
          </w:tcPr>
          <w:p>
            <w:pPr>
              <w:rPr>
                <w:rFonts w:hint="eastAsia" w:ascii="楷体" w:hAnsi="楷体" w:eastAsia="楷体" w:cs="楷体"/>
                <w:szCs w:val="24"/>
              </w:rPr>
            </w:pPr>
            <w:r>
              <w:rPr>
                <w:rFonts w:hint="eastAsia" w:ascii="楷体" w:hAnsi="楷体" w:eastAsia="楷体" w:cs="楷体"/>
                <w:szCs w:val="24"/>
              </w:rPr>
              <w:t>资源</w:t>
            </w:r>
          </w:p>
        </w:tc>
        <w:tc>
          <w:tcPr>
            <w:tcW w:w="1311" w:type="dxa"/>
            <w:vAlign w:val="center"/>
          </w:tcPr>
          <w:p>
            <w:pPr>
              <w:rPr>
                <w:rFonts w:hint="eastAsia" w:ascii="楷体" w:hAnsi="楷体" w:eastAsia="楷体" w:cs="楷体"/>
                <w:szCs w:val="24"/>
              </w:rPr>
            </w:pPr>
            <w:r>
              <w:rPr>
                <w:rFonts w:hint="eastAsia" w:ascii="楷体" w:hAnsi="楷体" w:eastAsia="楷体" w:cs="楷体"/>
                <w:szCs w:val="24"/>
              </w:rPr>
              <w:t xml:space="preserve">  </w:t>
            </w:r>
          </w:p>
          <w:p>
            <w:pPr>
              <w:rPr>
                <w:rFonts w:hint="eastAsia" w:ascii="楷体" w:hAnsi="楷体" w:eastAsia="楷体" w:cs="楷体"/>
                <w:szCs w:val="24"/>
              </w:rPr>
            </w:pPr>
            <w:r>
              <w:rPr>
                <w:rFonts w:hint="eastAsia" w:ascii="楷体" w:hAnsi="楷体" w:eastAsia="楷体" w:cs="楷体"/>
                <w:szCs w:val="24"/>
              </w:rPr>
              <w:t>E：7.1</w:t>
            </w:r>
          </w:p>
        </w:tc>
        <w:tc>
          <w:tcPr>
            <w:tcW w:w="10004" w:type="dxa"/>
            <w:vAlign w:val="center"/>
          </w:tcPr>
          <w:p>
            <w:pPr>
              <w:snapToGrid w:val="0"/>
              <w:spacing w:line="360" w:lineRule="auto"/>
              <w:ind w:firstLine="420" w:firstLineChars="200"/>
              <w:rPr>
                <w:rFonts w:hint="eastAsia" w:ascii="楷体" w:hAnsi="楷体" w:eastAsia="楷体" w:cs="楷体"/>
                <w:szCs w:val="24"/>
              </w:rPr>
            </w:pPr>
            <w:r>
              <w:rPr>
                <w:rFonts w:hint="eastAsia" w:ascii="楷体" w:hAnsi="楷体" w:eastAsia="楷体" w:cs="楷体"/>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及办公场所、办公设备等基础设施以及必要的工作环境，配备较为充分。</w:t>
            </w:r>
          </w:p>
          <w:p>
            <w:pPr>
              <w:snapToGrid w:val="0"/>
              <w:spacing w:line="360" w:lineRule="auto"/>
              <w:ind w:firstLine="420" w:firstLineChars="200"/>
              <w:rPr>
                <w:rFonts w:hint="eastAsia" w:ascii="楷体" w:hAnsi="楷体" w:eastAsia="楷体" w:cs="楷体"/>
                <w:szCs w:val="24"/>
              </w:rPr>
            </w:pPr>
            <w:r>
              <w:rPr>
                <w:rFonts w:hint="eastAsia" w:ascii="楷体" w:hAnsi="楷体" w:eastAsia="楷体" w:cs="楷体"/>
                <w:szCs w:val="24"/>
              </w:rPr>
              <w:t>总经理主持了今年的管理评审，对方针、目标的适宜性进行了评审，协助管代进行了内审，确保所需资源得到满足。</w:t>
            </w:r>
          </w:p>
          <w:p>
            <w:pPr>
              <w:snapToGrid w:val="0"/>
              <w:spacing w:line="360" w:lineRule="auto"/>
              <w:ind w:firstLine="420" w:firstLineChars="200"/>
              <w:rPr>
                <w:rFonts w:hint="eastAsia" w:ascii="楷体" w:hAnsi="楷体" w:eastAsia="楷体" w:cs="楷体"/>
                <w:szCs w:val="24"/>
              </w:rPr>
            </w:pPr>
            <w:r>
              <w:rPr>
                <w:rFonts w:hint="eastAsia" w:ascii="楷体" w:hAnsi="楷体" w:eastAsia="楷体" w:cs="楷体"/>
                <w:szCs w:val="24"/>
              </w:rPr>
              <w:t>为确保公司环保资金得得以保障，公司每年制定专门预算，及时提供有关资金，确保本公司各项资金及时到位，保证环保活动得到实施，达到预防污染活动目的。经了解组织环保主要投入到固废分类处置、</w:t>
            </w:r>
            <w:r>
              <w:rPr>
                <w:rFonts w:hint="eastAsia" w:ascii="楷体" w:hAnsi="楷体" w:eastAsia="楷体" w:cs="楷体"/>
                <w:szCs w:val="24"/>
                <w:lang w:val="en-US" w:eastAsia="zh-CN"/>
              </w:rPr>
              <w:t>环保设施、环境监测</w:t>
            </w:r>
            <w:r>
              <w:rPr>
                <w:rFonts w:hint="eastAsia" w:ascii="楷体" w:hAnsi="楷体" w:eastAsia="楷体" w:cs="楷体"/>
                <w:szCs w:val="24"/>
              </w:rPr>
              <w:t>等投入方面。</w:t>
            </w:r>
          </w:p>
          <w:p>
            <w:pPr>
              <w:snapToGrid w:val="0"/>
              <w:spacing w:line="360" w:lineRule="auto"/>
              <w:ind w:firstLine="420" w:firstLineChars="200"/>
              <w:rPr>
                <w:rFonts w:hint="eastAsia" w:ascii="楷体" w:hAnsi="楷体" w:eastAsia="楷体" w:cs="楷体"/>
                <w:color w:val="000000" w:themeColor="text1"/>
                <w:szCs w:val="24"/>
              </w:rPr>
            </w:pPr>
            <w:r>
              <w:rPr>
                <w:rFonts w:hint="eastAsia" w:ascii="楷体" w:hAnsi="楷体" w:eastAsia="楷体" w:cs="楷体"/>
                <w:color w:val="000000" w:themeColor="text1"/>
                <w:szCs w:val="24"/>
              </w:rPr>
              <w:t>查见20</w:t>
            </w:r>
            <w:r>
              <w:rPr>
                <w:rFonts w:hint="eastAsia" w:ascii="楷体" w:hAnsi="楷体" w:eastAsia="楷体" w:cs="楷体"/>
                <w:color w:val="000000" w:themeColor="text1"/>
                <w:szCs w:val="24"/>
                <w:lang w:val="en-US" w:eastAsia="zh-CN"/>
              </w:rPr>
              <w:t>21</w:t>
            </w:r>
            <w:r>
              <w:rPr>
                <w:rFonts w:hint="eastAsia" w:ascii="楷体" w:hAnsi="楷体" w:eastAsia="楷体" w:cs="楷体"/>
                <w:color w:val="000000" w:themeColor="text1"/>
                <w:szCs w:val="24"/>
              </w:rPr>
              <w:t>年环保安全资金投入计划财务支出明细，至今支出</w:t>
            </w:r>
            <w:r>
              <w:rPr>
                <w:rFonts w:hint="eastAsia" w:ascii="楷体" w:hAnsi="楷体" w:eastAsia="楷体" w:cs="楷体"/>
                <w:color w:val="000000" w:themeColor="text1"/>
                <w:szCs w:val="24"/>
                <w:lang w:val="en-US" w:eastAsia="zh-CN"/>
              </w:rPr>
              <w:t>43.22</w:t>
            </w:r>
            <w:bookmarkStart w:id="2" w:name="_GoBack"/>
            <w:bookmarkEnd w:id="2"/>
            <w:r>
              <w:rPr>
                <w:rFonts w:hint="eastAsia" w:ascii="楷体" w:hAnsi="楷体" w:eastAsia="楷体" w:cs="楷体"/>
                <w:color w:val="000000" w:themeColor="text1"/>
                <w:szCs w:val="24"/>
              </w:rPr>
              <w:t>万元。</w:t>
            </w:r>
          </w:p>
          <w:p>
            <w:pPr>
              <w:autoSpaceDE w:val="0"/>
              <w:autoSpaceDN w:val="0"/>
              <w:adjustRightInd w:val="0"/>
              <w:spacing w:line="360" w:lineRule="auto"/>
              <w:ind w:firstLine="420" w:firstLineChars="200"/>
              <w:rPr>
                <w:rFonts w:hint="eastAsia" w:ascii="楷体" w:hAnsi="楷体" w:eastAsia="楷体" w:cs="楷体"/>
                <w:szCs w:val="24"/>
              </w:rPr>
            </w:pPr>
            <w:r>
              <w:rPr>
                <w:rFonts w:hint="eastAsia" w:ascii="楷体" w:hAnsi="楷体" w:eastAsia="楷体" w:cs="楷体"/>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公司目前的基础设施，能够满足当前</w:t>
            </w:r>
            <w:r>
              <w:rPr>
                <w:rFonts w:hint="eastAsia" w:ascii="楷体" w:hAnsi="楷体" w:eastAsia="楷体" w:cs="楷体"/>
                <w:szCs w:val="24"/>
                <w:lang w:val="en-US" w:eastAsia="zh-CN"/>
              </w:rPr>
              <w:t>环境</w:t>
            </w:r>
            <w:r>
              <w:rPr>
                <w:rFonts w:hint="eastAsia" w:ascii="楷体" w:hAnsi="楷体" w:eastAsia="楷体" w:cs="楷体"/>
                <w:szCs w:val="24"/>
              </w:rPr>
              <w:t>体系的要求。公司将依据经营发展的需要，会不断补充与增加。</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rPr>
                <w:rFonts w:hint="eastAsia" w:ascii="楷体" w:hAnsi="楷体" w:eastAsia="楷体" w:cs="楷体"/>
                <w:szCs w:val="24"/>
              </w:rPr>
            </w:pPr>
            <w:r>
              <w:rPr>
                <w:rFonts w:hint="eastAsia" w:ascii="楷体" w:hAnsi="楷体" w:eastAsia="楷体" w:cs="楷体"/>
                <w:szCs w:val="24"/>
              </w:rPr>
              <w:t>信息交流、沟通、</w:t>
            </w:r>
          </w:p>
          <w:p>
            <w:pPr>
              <w:rPr>
                <w:rFonts w:hint="eastAsia" w:ascii="楷体" w:hAnsi="楷体" w:eastAsia="楷体" w:cs="楷体"/>
                <w:szCs w:val="24"/>
              </w:rPr>
            </w:pPr>
            <w:r>
              <w:rPr>
                <w:rFonts w:hint="eastAsia" w:ascii="楷体" w:hAnsi="楷体" w:eastAsia="楷体" w:cs="楷体"/>
                <w:szCs w:val="24"/>
              </w:rPr>
              <w:t>协商与参与</w:t>
            </w:r>
          </w:p>
        </w:tc>
        <w:tc>
          <w:tcPr>
            <w:tcW w:w="1311" w:type="dxa"/>
            <w:vAlign w:val="center"/>
          </w:tcPr>
          <w:p>
            <w:pPr>
              <w:rPr>
                <w:rFonts w:hint="eastAsia" w:ascii="楷体" w:hAnsi="楷体" w:eastAsia="楷体" w:cs="楷体"/>
                <w:szCs w:val="24"/>
              </w:rPr>
            </w:pPr>
            <w:r>
              <w:rPr>
                <w:rFonts w:hint="eastAsia" w:ascii="楷体" w:hAnsi="楷体" w:eastAsia="楷体" w:cs="楷体"/>
                <w:szCs w:val="24"/>
              </w:rPr>
              <w:t xml:space="preserve">E：7.4  </w:t>
            </w:r>
          </w:p>
          <w:p>
            <w:pPr>
              <w:rPr>
                <w:rFonts w:hint="eastAsia" w:ascii="楷体" w:hAnsi="楷体" w:eastAsia="楷体" w:cs="楷体"/>
                <w:szCs w:val="24"/>
              </w:rPr>
            </w:pPr>
          </w:p>
        </w:tc>
        <w:tc>
          <w:tcPr>
            <w:tcW w:w="10004" w:type="dxa"/>
            <w:vAlign w:val="center"/>
          </w:tcPr>
          <w:p>
            <w:pPr>
              <w:spacing w:line="360" w:lineRule="auto"/>
              <w:ind w:firstLine="468"/>
              <w:rPr>
                <w:rFonts w:hint="eastAsia" w:ascii="楷体" w:hAnsi="楷体" w:eastAsia="楷体" w:cs="楷体"/>
                <w:szCs w:val="24"/>
              </w:rPr>
            </w:pPr>
            <w:r>
              <w:rPr>
                <w:rFonts w:hint="eastAsia" w:ascii="楷体" w:hAnsi="楷体" w:eastAsia="楷体" w:cs="楷体"/>
                <w:szCs w:val="24"/>
              </w:rPr>
              <w:t>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2" w:beforeLines="20" w:after="62" w:afterLines="20" w:line="360" w:lineRule="auto"/>
              <w:ind w:firstLine="420" w:firstLineChars="200"/>
              <w:rPr>
                <w:rFonts w:hint="eastAsia" w:ascii="楷体" w:hAnsi="楷体" w:eastAsia="楷体" w:cs="楷体"/>
                <w:szCs w:val="24"/>
              </w:rPr>
            </w:pPr>
            <w:r>
              <w:rPr>
                <w:rFonts w:hint="eastAsia" w:ascii="楷体" w:hAnsi="楷体" w:eastAsia="楷体" w:cs="楷体"/>
                <w:szCs w:val="24"/>
              </w:rPr>
              <w:t>总经理</w:t>
            </w:r>
            <w:r>
              <w:rPr>
                <w:rFonts w:hint="eastAsia" w:ascii="楷体" w:hAnsi="楷体" w:eastAsia="楷体" w:cs="楷体"/>
                <w:sz w:val="21"/>
                <w:szCs w:val="21"/>
                <w:lang w:val="en-US" w:eastAsia="zh-CN"/>
              </w:rPr>
              <w:t>赖姬妙</w:t>
            </w:r>
            <w:r>
              <w:rPr>
                <w:rFonts w:hint="eastAsia" w:ascii="楷体" w:hAnsi="楷体" w:eastAsia="楷体" w:cs="楷体"/>
                <w:szCs w:val="24"/>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hint="eastAsia" w:ascii="楷体" w:hAnsi="楷体" w:eastAsia="楷体" w:cs="楷体"/>
                <w:szCs w:val="24"/>
              </w:rPr>
            </w:pPr>
            <w:r>
              <w:rPr>
                <w:rFonts w:hint="eastAsia" w:ascii="楷体" w:hAnsi="楷体" w:eastAsia="楷体" w:cs="楷体"/>
                <w:szCs w:val="24"/>
              </w:rPr>
              <w:t>总经理</w:t>
            </w:r>
            <w:r>
              <w:rPr>
                <w:rFonts w:hint="eastAsia" w:ascii="楷体" w:hAnsi="楷体" w:eastAsia="楷体" w:cs="楷体"/>
                <w:sz w:val="21"/>
                <w:szCs w:val="21"/>
                <w:lang w:val="en-US" w:eastAsia="zh-CN"/>
              </w:rPr>
              <w:t>赖姬妙</w:t>
            </w:r>
            <w:r>
              <w:rPr>
                <w:rFonts w:hint="eastAsia" w:ascii="楷体" w:hAnsi="楷体" w:eastAsia="楷体" w:cs="楷体"/>
                <w:szCs w:val="24"/>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hint="eastAsia" w:ascii="楷体" w:hAnsi="楷体" w:eastAsia="楷体" w:cs="楷体"/>
                <w:szCs w:val="24"/>
              </w:rPr>
            </w:pPr>
            <w:r>
              <w:rPr>
                <w:rFonts w:hint="eastAsia" w:ascii="楷体" w:hAnsi="楷体" w:eastAsia="楷体" w:cs="楷体"/>
                <w:szCs w:val="24"/>
              </w:rPr>
              <w:t>管代</w:t>
            </w:r>
            <w:r>
              <w:rPr>
                <w:rFonts w:hint="eastAsia" w:ascii="楷体" w:hAnsi="楷体" w:eastAsia="楷体" w:cs="楷体"/>
                <w:szCs w:val="24"/>
                <w:lang w:val="en-US" w:eastAsia="zh-CN"/>
              </w:rPr>
              <w:t>屠菊蕾</w:t>
            </w:r>
            <w:r>
              <w:rPr>
                <w:rFonts w:hint="eastAsia" w:ascii="楷体" w:hAnsi="楷体" w:eastAsia="楷体" w:cs="楷体"/>
                <w:szCs w:val="24"/>
              </w:rPr>
              <w:t>介绍公司规模不大，人员不多，组织为各部门管理人员及非管理类工作人员明确了职责和权限，各部门管理人员及非管理类工作人员参与了环境因素辨识、风险和机遇评价和控制措施的确定，在确定相关方的需求和期望时进行了适当的协商，共同参与了环境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日常对于</w:t>
            </w:r>
            <w:r>
              <w:rPr>
                <w:rFonts w:hint="eastAsia" w:ascii="楷体" w:hAnsi="楷体" w:eastAsia="楷体" w:cs="楷体"/>
                <w:szCs w:val="24"/>
                <w:lang w:val="en-US" w:eastAsia="zh-CN"/>
              </w:rPr>
              <w:t>环境</w:t>
            </w:r>
            <w:r>
              <w:rPr>
                <w:rFonts w:hint="eastAsia" w:ascii="楷体" w:hAnsi="楷体" w:eastAsia="楷体" w:cs="楷体"/>
                <w:szCs w:val="24"/>
              </w:rPr>
              <w:t>方面的信息主要利用会议、培训、座谈、电话、网络、收文等方式进行内外部沟通和协商。</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现场查见会议记录、通知通报、培训记录、文件签收等组织内部培训方式相关记录。</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lang w:val="en-US" w:eastAsia="zh-CN"/>
              </w:rPr>
              <w:t>综合部</w:t>
            </w:r>
            <w:r>
              <w:rPr>
                <w:rFonts w:hint="eastAsia" w:ascii="楷体" w:hAnsi="楷体" w:eastAsia="楷体" w:cs="楷体"/>
                <w:szCs w:val="24"/>
              </w:rPr>
              <w:t>是内外部信息交流的中心，通过会议、邮件、培训等形式进行内部交流，向外部接收各种文件传递各种报表，外部沟通联络的部门有环保部门及合同方等。</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经交流：目前与环保的信息交流主要是参加会议、接收来文、电话、邮件等，均按要求予以传达和落实，沟通情况较好。</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相关人员能够适当参与并协商办理公司经营管理及</w:t>
            </w:r>
            <w:r>
              <w:rPr>
                <w:rFonts w:hint="eastAsia" w:ascii="楷体" w:hAnsi="楷体" w:eastAsia="楷体" w:cs="楷体"/>
                <w:szCs w:val="24"/>
                <w:lang w:val="en-US" w:eastAsia="zh-CN"/>
              </w:rPr>
              <w:t>环境</w:t>
            </w:r>
            <w:r>
              <w:rPr>
                <w:rFonts w:hint="eastAsia" w:ascii="楷体" w:hAnsi="楷体" w:eastAsia="楷体" w:cs="楷体"/>
                <w:szCs w:val="24"/>
              </w:rPr>
              <w:t>事务等工作。</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由于公司福利待遇正常发放，员工无抱怨，目前信息交流机制畅通。</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现有的沟通渠道和方法能满足要求。审核中未发现因沟通不利不及时而造成（影响）某项工作不能正常运行的情况。</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809" w:type="dxa"/>
            <w:vAlign w:val="center"/>
          </w:tcPr>
          <w:p>
            <w:pPr>
              <w:rPr>
                <w:rFonts w:hint="eastAsia" w:ascii="楷体" w:hAnsi="楷体" w:eastAsia="楷体" w:cs="楷体"/>
                <w:szCs w:val="24"/>
              </w:rPr>
            </w:pPr>
            <w:r>
              <w:rPr>
                <w:rFonts w:hint="eastAsia" w:ascii="楷体" w:hAnsi="楷体" w:eastAsia="楷体" w:cs="楷体"/>
                <w:szCs w:val="24"/>
              </w:rPr>
              <w:t>管理评审</w:t>
            </w:r>
          </w:p>
        </w:tc>
        <w:tc>
          <w:tcPr>
            <w:tcW w:w="1311" w:type="dxa"/>
            <w:vAlign w:val="center"/>
          </w:tcPr>
          <w:p>
            <w:pPr>
              <w:rPr>
                <w:rFonts w:hint="eastAsia" w:ascii="楷体" w:hAnsi="楷体" w:eastAsia="楷体" w:cs="楷体"/>
                <w:szCs w:val="24"/>
              </w:rPr>
            </w:pPr>
            <w:r>
              <w:rPr>
                <w:rFonts w:hint="eastAsia" w:ascii="楷体" w:hAnsi="楷体" w:eastAsia="楷体" w:cs="楷体"/>
                <w:szCs w:val="24"/>
              </w:rPr>
              <w:t xml:space="preserve">E：9.3  </w:t>
            </w:r>
          </w:p>
        </w:tc>
        <w:tc>
          <w:tcPr>
            <w:tcW w:w="10004" w:type="dxa"/>
            <w:vAlign w:val="center"/>
          </w:tcPr>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查看《管理评审程序》，基本符合要求。20</w:t>
            </w:r>
            <w:r>
              <w:rPr>
                <w:rFonts w:hint="eastAsia" w:ascii="楷体" w:hAnsi="楷体" w:eastAsia="楷体" w:cs="楷体"/>
                <w:szCs w:val="24"/>
                <w:lang w:val="en-US" w:eastAsia="zh-CN"/>
              </w:rPr>
              <w:t>21</w:t>
            </w:r>
            <w:r>
              <w:rPr>
                <w:rFonts w:hint="eastAsia" w:ascii="楷体" w:hAnsi="楷体" w:eastAsia="楷体" w:cs="楷体"/>
                <w:szCs w:val="24"/>
              </w:rPr>
              <w:t>.</w:t>
            </w:r>
            <w:r>
              <w:rPr>
                <w:rFonts w:hint="eastAsia" w:ascii="楷体" w:hAnsi="楷体" w:eastAsia="楷体" w:cs="楷体"/>
                <w:szCs w:val="24"/>
                <w:lang w:val="en-US" w:eastAsia="zh-CN"/>
              </w:rPr>
              <w:t>6</w:t>
            </w:r>
            <w:r>
              <w:rPr>
                <w:rFonts w:hint="eastAsia" w:ascii="楷体" w:hAnsi="楷体" w:eastAsia="楷体" w:cs="楷体"/>
                <w:szCs w:val="24"/>
              </w:rPr>
              <w:t>.2</w:t>
            </w:r>
            <w:r>
              <w:rPr>
                <w:rFonts w:hint="eastAsia" w:ascii="楷体" w:hAnsi="楷体" w:eastAsia="楷体" w:cs="楷体"/>
                <w:szCs w:val="24"/>
                <w:lang w:val="en-US" w:eastAsia="zh-CN"/>
              </w:rPr>
              <w:t>0</w:t>
            </w:r>
            <w:r>
              <w:rPr>
                <w:rFonts w:hint="eastAsia" w:ascii="楷体" w:hAnsi="楷体" w:eastAsia="楷体" w:cs="楷体"/>
                <w:szCs w:val="24"/>
              </w:rPr>
              <w:t>日进行了管理评审。</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查看 “管理评审计划”，由</w:t>
            </w:r>
            <w:r>
              <w:rPr>
                <w:rFonts w:hint="eastAsia" w:ascii="楷体" w:hAnsi="楷体" w:eastAsia="楷体" w:cs="楷体"/>
                <w:szCs w:val="24"/>
                <w:lang w:val="en-US" w:eastAsia="zh-CN"/>
              </w:rPr>
              <w:t>郭世辉</w:t>
            </w:r>
            <w:r>
              <w:rPr>
                <w:rFonts w:hint="eastAsia" w:ascii="楷体" w:hAnsi="楷体" w:eastAsia="楷体" w:cs="楷体"/>
                <w:szCs w:val="24"/>
              </w:rPr>
              <w:t>签发；内容包括；评审目的、评审时间、参加部门人员、评审输入内容等。</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管理评审输入:包括组织的战略方向、与环境管理体系相关的内外部因素的变化，顾客满意和相关方的反馈，目标的实现情况，监视和测量结果，内部审核结果，外部供方的绩效，资源的充分性，应对风险和机遇所采取的措施，重要环境因素，合规义务履行情况，事件调查、纠正和预防措施，改进的机会等。管理评审的输入基本充分。查到各部门汇报材料，有参加人员签到表。</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管理评审输出：</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评审结论：公司的管理体系是适宜的、充分的和有效的，达到了顾客满意和持续改进的目的。</w:t>
            </w:r>
          </w:p>
          <w:p>
            <w:pPr>
              <w:spacing w:line="360" w:lineRule="auto"/>
              <w:rPr>
                <w:rFonts w:hint="eastAsia" w:ascii="楷体" w:hAnsi="楷体" w:eastAsia="楷体" w:cs="楷体"/>
                <w:kern w:val="1"/>
              </w:rPr>
            </w:pPr>
            <w:r>
              <w:rPr>
                <w:rFonts w:hint="eastAsia" w:ascii="楷体" w:hAnsi="楷体" w:eastAsia="楷体" w:cs="楷体"/>
                <w:szCs w:val="24"/>
              </w:rPr>
              <w:t>提出了</w:t>
            </w:r>
            <w:r>
              <w:rPr>
                <w:rFonts w:hint="eastAsia" w:ascii="楷体" w:hAnsi="楷体" w:eastAsia="楷体" w:cs="楷体"/>
                <w:szCs w:val="24"/>
                <w:lang w:val="en-US" w:eastAsia="zh-CN"/>
              </w:rPr>
              <w:t>1</w:t>
            </w:r>
            <w:r>
              <w:rPr>
                <w:rFonts w:hint="eastAsia" w:ascii="楷体" w:hAnsi="楷体" w:eastAsia="楷体" w:cs="楷体"/>
                <w:szCs w:val="24"/>
              </w:rPr>
              <w:t xml:space="preserve">项改进措施: </w:t>
            </w:r>
            <w:r>
              <w:rPr>
                <w:rFonts w:hint="eastAsia" w:ascii="楷体" w:hAnsi="楷体" w:eastAsia="楷体" w:cs="楷体"/>
                <w:color w:val="000000"/>
                <w:szCs w:val="21"/>
              </w:rPr>
              <w:t>1）</w:t>
            </w:r>
            <w:r>
              <w:rPr>
                <w:rFonts w:hint="eastAsia" w:ascii="楷体" w:hAnsi="楷体" w:eastAsia="楷体" w:cs="楷体"/>
                <w:kern w:val="1"/>
              </w:rPr>
              <w:t>进一步加强员工环保法规知识培训</w:t>
            </w:r>
          </w:p>
          <w:p>
            <w:pPr>
              <w:spacing w:line="360" w:lineRule="auto"/>
              <w:rPr>
                <w:rFonts w:hint="eastAsia" w:ascii="楷体" w:hAnsi="楷体" w:eastAsia="楷体" w:cs="楷体"/>
                <w:kern w:val="1"/>
              </w:rPr>
            </w:pP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rPr>
                <w:rFonts w:hint="eastAsia" w:ascii="楷体" w:hAnsi="楷体" w:eastAsia="楷体" w:cs="楷体"/>
                <w:szCs w:val="24"/>
              </w:rPr>
            </w:pPr>
            <w:r>
              <w:rPr>
                <w:rFonts w:hint="eastAsia" w:ascii="楷体" w:hAnsi="楷体" w:eastAsia="楷体" w:cs="楷体"/>
                <w:szCs w:val="24"/>
              </w:rPr>
              <w:t>改进</w:t>
            </w:r>
          </w:p>
          <w:p>
            <w:pPr>
              <w:rPr>
                <w:rFonts w:hint="eastAsia" w:ascii="楷体" w:hAnsi="楷体" w:eastAsia="楷体" w:cs="楷体"/>
                <w:szCs w:val="24"/>
              </w:rPr>
            </w:pPr>
          </w:p>
        </w:tc>
        <w:tc>
          <w:tcPr>
            <w:tcW w:w="1311" w:type="dxa"/>
            <w:vAlign w:val="center"/>
          </w:tcPr>
          <w:p>
            <w:pPr>
              <w:rPr>
                <w:rFonts w:hint="eastAsia" w:ascii="楷体" w:hAnsi="楷体" w:eastAsia="楷体" w:cs="楷体"/>
                <w:szCs w:val="24"/>
              </w:rPr>
            </w:pPr>
            <w:r>
              <w:rPr>
                <w:rFonts w:hint="eastAsia" w:ascii="楷体" w:hAnsi="楷体" w:eastAsia="楷体" w:cs="楷体"/>
                <w:szCs w:val="24"/>
              </w:rPr>
              <w:t>E：10.1、10.3</w:t>
            </w:r>
          </w:p>
          <w:p>
            <w:pPr>
              <w:rPr>
                <w:rFonts w:hint="eastAsia" w:ascii="楷体" w:hAnsi="楷体" w:eastAsia="楷体" w:cs="楷体"/>
                <w:szCs w:val="24"/>
              </w:rPr>
            </w:pPr>
          </w:p>
        </w:tc>
        <w:tc>
          <w:tcPr>
            <w:tcW w:w="10004" w:type="dxa"/>
            <w:vAlign w:val="center"/>
          </w:tcPr>
          <w:p>
            <w:pPr>
              <w:snapToGrid w:val="0"/>
              <w:spacing w:line="360" w:lineRule="auto"/>
              <w:ind w:firstLine="420" w:firstLineChars="200"/>
              <w:rPr>
                <w:rFonts w:hint="eastAsia" w:ascii="楷体" w:hAnsi="楷体" w:eastAsia="楷体" w:cs="楷体"/>
                <w:szCs w:val="24"/>
              </w:rPr>
            </w:pPr>
            <w:r>
              <w:rPr>
                <w:rFonts w:hint="eastAsia" w:ascii="楷体" w:hAnsi="楷体" w:eastAsia="楷体" w:cs="楷体"/>
                <w:color w:val="000000"/>
                <w:szCs w:val="24"/>
              </w:rPr>
              <w:t>管理者代表根据总经理意图组织持续改进过程的策划工作，由</w:t>
            </w:r>
            <w:r>
              <w:rPr>
                <w:rFonts w:hint="eastAsia" w:ascii="楷体" w:hAnsi="楷体" w:eastAsia="楷体" w:cs="楷体"/>
                <w:color w:val="000000"/>
                <w:szCs w:val="24"/>
                <w:lang w:val="en-US" w:eastAsia="zh-CN"/>
              </w:rPr>
              <w:t>综合管理部</w:t>
            </w:r>
            <w:r>
              <w:rPr>
                <w:rFonts w:hint="eastAsia" w:ascii="楷体" w:hAnsi="楷体" w:eastAsia="楷体" w:cs="楷体"/>
                <w:color w:val="000000"/>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有较大的提高，持续改进了管理体系的有效性。</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自体系运行以来，全员的环保意识有较大的提高，市场经营规模有了较大发展，持续改进了管理体系的有效性。</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809" w:type="dxa"/>
          </w:tcPr>
          <w:p>
            <w:pPr>
              <w:rPr>
                <w:rFonts w:hint="eastAsia" w:ascii="楷体" w:hAnsi="楷体" w:eastAsia="楷体" w:cs="楷体"/>
                <w:szCs w:val="24"/>
              </w:rPr>
            </w:pPr>
            <w:r>
              <w:rPr>
                <w:rFonts w:hint="eastAsia" w:ascii="楷体" w:hAnsi="楷体" w:eastAsia="楷体" w:cs="楷体"/>
                <w:szCs w:val="24"/>
              </w:rPr>
              <w:t>国家/地方抽查、顾客满意、相关方投诉处理</w:t>
            </w:r>
          </w:p>
        </w:tc>
        <w:tc>
          <w:tcPr>
            <w:tcW w:w="1311" w:type="dxa"/>
          </w:tcPr>
          <w:p>
            <w:pPr>
              <w:rPr>
                <w:rFonts w:hint="eastAsia" w:ascii="楷体" w:hAnsi="楷体" w:eastAsia="楷体" w:cs="楷体"/>
                <w:szCs w:val="24"/>
              </w:rPr>
            </w:pPr>
          </w:p>
        </w:tc>
        <w:tc>
          <w:tcPr>
            <w:tcW w:w="10004" w:type="dxa"/>
          </w:tcPr>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自公司成立以来，未受到上级主管部门有关环境问题的行政处罚。未发生相关方的投诉。</w:t>
            </w:r>
          </w:p>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暂时没有国家/地方抽查情况。</w:t>
            </w:r>
          </w:p>
          <w:p>
            <w:pPr>
              <w:snapToGrid w:val="0"/>
              <w:spacing w:line="360" w:lineRule="auto"/>
              <w:ind w:firstLine="420" w:firstLineChars="200"/>
              <w:rPr>
                <w:rFonts w:hint="eastAsia" w:ascii="楷体" w:hAnsi="楷体" w:eastAsia="楷体" w:cs="楷体"/>
                <w:szCs w:val="24"/>
              </w:rPr>
            </w:pPr>
            <w:r>
              <w:rPr>
                <w:rFonts w:hint="eastAsia" w:ascii="楷体" w:hAnsi="楷体" w:eastAsia="楷体" w:cs="楷体"/>
                <w:szCs w:val="24"/>
              </w:rPr>
              <w:t>目前没有相关行政主管部门的检查处罚，在审核现场也未发现抽查、相关方投诉等情况。</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09" w:type="dxa"/>
          </w:tcPr>
          <w:p>
            <w:pPr>
              <w:rPr>
                <w:rFonts w:hint="eastAsia" w:ascii="楷体" w:hAnsi="楷体" w:eastAsia="楷体" w:cs="楷体"/>
                <w:szCs w:val="24"/>
              </w:rPr>
            </w:pPr>
            <w:r>
              <w:rPr>
                <w:rFonts w:hint="eastAsia" w:ascii="楷体" w:hAnsi="楷体" w:eastAsia="楷体" w:cs="楷体"/>
                <w:szCs w:val="24"/>
              </w:rPr>
              <w:t>验证资质</w:t>
            </w:r>
          </w:p>
        </w:tc>
        <w:tc>
          <w:tcPr>
            <w:tcW w:w="1311" w:type="dxa"/>
          </w:tcPr>
          <w:p>
            <w:pPr>
              <w:rPr>
                <w:rFonts w:hint="eastAsia" w:ascii="楷体" w:hAnsi="楷体" w:eastAsia="楷体" w:cs="楷体"/>
                <w:szCs w:val="24"/>
              </w:rPr>
            </w:pPr>
          </w:p>
        </w:tc>
        <w:tc>
          <w:tcPr>
            <w:tcW w:w="10004" w:type="dxa"/>
          </w:tcPr>
          <w:p>
            <w:pPr>
              <w:spacing w:line="360" w:lineRule="auto"/>
              <w:ind w:firstLine="420" w:firstLineChars="200"/>
              <w:rPr>
                <w:rFonts w:hint="eastAsia" w:ascii="楷体" w:hAnsi="楷体" w:eastAsia="楷体" w:cs="楷体"/>
                <w:szCs w:val="24"/>
              </w:rPr>
            </w:pPr>
            <w:r>
              <w:rPr>
                <w:rFonts w:hint="eastAsia" w:ascii="楷体" w:hAnsi="楷体" w:eastAsia="楷体" w:cs="楷体"/>
                <w:szCs w:val="24"/>
              </w:rPr>
              <w:t>提供了组织营业执照均为有效。</w:t>
            </w:r>
          </w:p>
        </w:tc>
        <w:tc>
          <w:tcPr>
            <w:tcW w:w="1585"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09" w:type="dxa"/>
          </w:tcPr>
          <w:p>
            <w:pPr>
              <w:rPr>
                <w:rFonts w:hint="eastAsia" w:ascii="楷体" w:hAnsi="楷体" w:eastAsia="楷体" w:cs="楷体"/>
                <w:szCs w:val="24"/>
              </w:rPr>
            </w:pPr>
            <w:r>
              <w:rPr>
                <w:rFonts w:hint="eastAsia" w:ascii="楷体" w:hAnsi="楷体" w:eastAsia="楷体" w:cs="楷体"/>
                <w:szCs w:val="24"/>
              </w:rPr>
              <w:t>一阶段问题验证</w:t>
            </w:r>
          </w:p>
        </w:tc>
        <w:tc>
          <w:tcPr>
            <w:tcW w:w="1311" w:type="dxa"/>
          </w:tcPr>
          <w:p>
            <w:pPr>
              <w:rPr>
                <w:rFonts w:hint="eastAsia" w:ascii="楷体" w:hAnsi="楷体" w:eastAsia="楷体" w:cs="楷体"/>
                <w:szCs w:val="24"/>
              </w:rPr>
            </w:pPr>
          </w:p>
        </w:tc>
        <w:tc>
          <w:tcPr>
            <w:tcW w:w="10004" w:type="dxa"/>
          </w:tcPr>
          <w:p>
            <w:pPr>
              <w:spacing w:line="360" w:lineRule="auto"/>
              <w:ind w:firstLine="420" w:firstLineChars="200"/>
              <w:rPr>
                <w:rFonts w:hint="eastAsia" w:ascii="楷体" w:hAnsi="楷体" w:eastAsia="楷体" w:cs="楷体"/>
                <w:szCs w:val="24"/>
              </w:rPr>
            </w:pPr>
            <w:r>
              <w:rPr>
                <w:rFonts w:hint="eastAsia" w:ascii="楷体" w:hAnsi="楷体" w:eastAsia="楷体" w:cs="楷体"/>
                <w:szCs w:val="24"/>
                <w:lang w:val="en-US" w:eastAsia="zh-CN"/>
              </w:rPr>
              <w:t>无</w:t>
            </w:r>
          </w:p>
        </w:tc>
        <w:tc>
          <w:tcPr>
            <w:tcW w:w="1585" w:type="dxa"/>
          </w:tcPr>
          <w:p>
            <w:pPr>
              <w:rPr>
                <w:rFonts w:hint="eastAsia" w:ascii="楷体" w:hAnsi="楷体" w:eastAsia="楷体" w:cs="楷体"/>
                <w:sz w:val="24"/>
                <w:szCs w:val="24"/>
              </w:rPr>
            </w:pPr>
          </w:p>
        </w:tc>
      </w:tr>
    </w:tbl>
    <w:p>
      <w:pPr>
        <w:jc w:val="center"/>
        <w:rPr>
          <w:rFonts w:hint="eastAsia" w:ascii="楷体" w:hAnsi="楷体" w:eastAsia="楷体" w:cs="楷体"/>
        </w:rPr>
      </w:pPr>
    </w:p>
    <w:p>
      <w:pPr>
        <w:pStyle w:val="4"/>
        <w:rPr>
          <w:rFonts w:hint="eastAsia" w:ascii="楷体" w:hAnsi="楷体" w:eastAsia="楷体" w:cs="楷体"/>
        </w:rPr>
      </w:pPr>
      <w:r>
        <w:rPr>
          <w:rFonts w:hint="eastAsia" w:ascii="楷体" w:hAnsi="楷体" w:eastAsia="楷体" w:cs="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 Sun+ 2">
    <w:altName w:val="Microsoft YaHei UI"/>
    <w:panose1 w:val="020B0604020202020204"/>
    <w:charset w:val="00"/>
    <w:family w:val="swiss"/>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方正兰亭超细黑简体">
    <w:altName w:val="黑体"/>
    <w:panose1 w:val="02000000000000000000"/>
    <w:charset w:val="86"/>
    <w:family w:val="swiss"/>
    <w:pitch w:val="default"/>
    <w:sig w:usb0="00000000" w:usb1="00000000" w:usb2="00000000" w:usb3="00000000" w:csb0="00040001"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rPr>
      <w:fldChar w:fldCharType="begin"/>
    </w:r>
    <w:r>
      <w:rPr>
        <w:b/>
      </w:rPr>
      <w:instrText xml:space="preserve">PAGE</w:instrText>
    </w:r>
    <w:r>
      <w:rPr>
        <w:b/>
      </w:rPr>
      <w:fldChar w:fldCharType="separate"/>
    </w:r>
    <w:r>
      <w:rPr>
        <w:b/>
      </w:rPr>
      <w:t>13</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13</w:t>
    </w:r>
    <w:r>
      <w:rPr>
        <w:b/>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1"/>
        <w:rFonts w:hint="eastAsia"/>
      </w:rPr>
      <w:t>北京国标联合认证有限公司</w:t>
    </w:r>
    <w:r>
      <w:rPr>
        <w:rStyle w:val="11"/>
      </w:rPr>
      <w:tab/>
    </w:r>
    <w:r>
      <w:rPr>
        <w:rStyle w:val="11"/>
      </w:rPr>
      <w:tab/>
    </w:r>
    <w:r>
      <w:rPr>
        <w:rStyle w:val="11"/>
      </w:rPr>
      <w:tab/>
    </w:r>
  </w:p>
  <w:p>
    <w:pPr>
      <w:pStyle w:val="5"/>
      <w:pBdr>
        <w:bottom w:val="none" w:color="auto" w:sz="0" w:space="0"/>
      </w:pBdr>
      <w:spacing w:line="320" w:lineRule="exact"/>
      <w:jc w:val="left"/>
    </w:pPr>
    <w:r>
      <w:pict>
        <v:shape id="文本框 1" o:spid="_x0000_s4098" o:spt="202" type="#_x0000_t202" style="position:absolute;left:0pt;margin-left:554.75pt;margin-top:2.2pt;height:20.2pt;width:172pt;z-index:251659264;mso-width-relative:page;mso-height-relative:page;" stroked="f" coordsize="21600,21600">
          <v:path arrowok="t"/>
          <v:fill focussize="0,0"/>
          <v:stroke on="f" joinstyle="miter"/>
          <v:imagedata o:title=""/>
          <o:lock v:ext="edit"/>
          <v:textbox>
            <w:txbxContent>
              <w:p>
                <w:r>
                  <w:t>ISC-B-I</w:t>
                </w:r>
                <w:r>
                  <w:rPr>
                    <w:sz w:val="18"/>
                    <w:szCs w:val="18"/>
                  </w:rPr>
                  <w:t>I-10</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1"/>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10284"/>
    <w:multiLevelType w:val="multilevel"/>
    <w:tmpl w:val="5DC10284"/>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001A2"/>
    <w:rsid w:val="00004817"/>
    <w:rsid w:val="000214B6"/>
    <w:rsid w:val="0002531E"/>
    <w:rsid w:val="0003373A"/>
    <w:rsid w:val="000412F6"/>
    <w:rsid w:val="0005199E"/>
    <w:rsid w:val="0005697E"/>
    <w:rsid w:val="000579CF"/>
    <w:rsid w:val="00060B56"/>
    <w:rsid w:val="00082216"/>
    <w:rsid w:val="00082398"/>
    <w:rsid w:val="000849D2"/>
    <w:rsid w:val="00087F9D"/>
    <w:rsid w:val="0009309C"/>
    <w:rsid w:val="000A5E44"/>
    <w:rsid w:val="000B1394"/>
    <w:rsid w:val="000B40BD"/>
    <w:rsid w:val="000B51BD"/>
    <w:rsid w:val="000C0F8E"/>
    <w:rsid w:val="000C123B"/>
    <w:rsid w:val="000D5401"/>
    <w:rsid w:val="000D697A"/>
    <w:rsid w:val="000E2B69"/>
    <w:rsid w:val="000E4738"/>
    <w:rsid w:val="000E7EF7"/>
    <w:rsid w:val="000F35F1"/>
    <w:rsid w:val="000F7D53"/>
    <w:rsid w:val="001022F1"/>
    <w:rsid w:val="001037D5"/>
    <w:rsid w:val="00145688"/>
    <w:rsid w:val="001677C1"/>
    <w:rsid w:val="00181BB0"/>
    <w:rsid w:val="001918ED"/>
    <w:rsid w:val="00192A7F"/>
    <w:rsid w:val="00194DC7"/>
    <w:rsid w:val="001A2D7F"/>
    <w:rsid w:val="001A3DF8"/>
    <w:rsid w:val="001A572D"/>
    <w:rsid w:val="001B1F4D"/>
    <w:rsid w:val="001D3314"/>
    <w:rsid w:val="001D4AD8"/>
    <w:rsid w:val="001D54FF"/>
    <w:rsid w:val="001E1974"/>
    <w:rsid w:val="00202BC2"/>
    <w:rsid w:val="00214113"/>
    <w:rsid w:val="00215081"/>
    <w:rsid w:val="00216DB7"/>
    <w:rsid w:val="00222532"/>
    <w:rsid w:val="00237445"/>
    <w:rsid w:val="002651A6"/>
    <w:rsid w:val="00275A8E"/>
    <w:rsid w:val="002973F0"/>
    <w:rsid w:val="002975C1"/>
    <w:rsid w:val="002A0E6E"/>
    <w:rsid w:val="002A33CC"/>
    <w:rsid w:val="002B1808"/>
    <w:rsid w:val="002C1ACE"/>
    <w:rsid w:val="002C3E0D"/>
    <w:rsid w:val="002D41FB"/>
    <w:rsid w:val="002E0587"/>
    <w:rsid w:val="002E1E1D"/>
    <w:rsid w:val="00317401"/>
    <w:rsid w:val="00326FC1"/>
    <w:rsid w:val="00337922"/>
    <w:rsid w:val="00340867"/>
    <w:rsid w:val="00342857"/>
    <w:rsid w:val="00347E99"/>
    <w:rsid w:val="003608CB"/>
    <w:rsid w:val="003627B6"/>
    <w:rsid w:val="003708D5"/>
    <w:rsid w:val="0038061A"/>
    <w:rsid w:val="0038063B"/>
    <w:rsid w:val="00380837"/>
    <w:rsid w:val="00381318"/>
    <w:rsid w:val="00382EDD"/>
    <w:rsid w:val="003836CA"/>
    <w:rsid w:val="00386A98"/>
    <w:rsid w:val="00390345"/>
    <w:rsid w:val="003A07E3"/>
    <w:rsid w:val="003A1E9C"/>
    <w:rsid w:val="003C0FC6"/>
    <w:rsid w:val="003C58F5"/>
    <w:rsid w:val="003D6BE3"/>
    <w:rsid w:val="003E0E52"/>
    <w:rsid w:val="003F20A5"/>
    <w:rsid w:val="00400B59"/>
    <w:rsid w:val="00400B96"/>
    <w:rsid w:val="00405D5F"/>
    <w:rsid w:val="00410914"/>
    <w:rsid w:val="00415AA3"/>
    <w:rsid w:val="00420C60"/>
    <w:rsid w:val="00424936"/>
    <w:rsid w:val="00430432"/>
    <w:rsid w:val="00433759"/>
    <w:rsid w:val="0043494E"/>
    <w:rsid w:val="004414A5"/>
    <w:rsid w:val="00456697"/>
    <w:rsid w:val="004607C4"/>
    <w:rsid w:val="00465FE1"/>
    <w:rsid w:val="00475491"/>
    <w:rsid w:val="004869FB"/>
    <w:rsid w:val="00491735"/>
    <w:rsid w:val="00494A46"/>
    <w:rsid w:val="004978D0"/>
    <w:rsid w:val="004B217F"/>
    <w:rsid w:val="004B3E7F"/>
    <w:rsid w:val="004C07FE"/>
    <w:rsid w:val="004C6045"/>
    <w:rsid w:val="004D3E4C"/>
    <w:rsid w:val="004F185D"/>
    <w:rsid w:val="005056ED"/>
    <w:rsid w:val="00517E4C"/>
    <w:rsid w:val="00521CF0"/>
    <w:rsid w:val="0053208B"/>
    <w:rsid w:val="00534814"/>
    <w:rsid w:val="00536930"/>
    <w:rsid w:val="00551AE7"/>
    <w:rsid w:val="00556AF4"/>
    <w:rsid w:val="00560A2A"/>
    <w:rsid w:val="00564E53"/>
    <w:rsid w:val="005779A8"/>
    <w:rsid w:val="00583277"/>
    <w:rsid w:val="00592C3E"/>
    <w:rsid w:val="005A000F"/>
    <w:rsid w:val="005B173D"/>
    <w:rsid w:val="005B6888"/>
    <w:rsid w:val="005C7367"/>
    <w:rsid w:val="005D7FAE"/>
    <w:rsid w:val="005F6C65"/>
    <w:rsid w:val="00600F02"/>
    <w:rsid w:val="0060444D"/>
    <w:rsid w:val="00636710"/>
    <w:rsid w:val="00642776"/>
    <w:rsid w:val="00644FE2"/>
    <w:rsid w:val="00645FB8"/>
    <w:rsid w:val="00651986"/>
    <w:rsid w:val="00653AE3"/>
    <w:rsid w:val="006545E8"/>
    <w:rsid w:val="00664736"/>
    <w:rsid w:val="00665980"/>
    <w:rsid w:val="0067640C"/>
    <w:rsid w:val="006836D9"/>
    <w:rsid w:val="006910D6"/>
    <w:rsid w:val="00695256"/>
    <w:rsid w:val="00695570"/>
    <w:rsid w:val="00696AF1"/>
    <w:rsid w:val="006A3B31"/>
    <w:rsid w:val="006A68F3"/>
    <w:rsid w:val="006B4127"/>
    <w:rsid w:val="006C24BF"/>
    <w:rsid w:val="006C40B9"/>
    <w:rsid w:val="006D790F"/>
    <w:rsid w:val="006E678B"/>
    <w:rsid w:val="0070367F"/>
    <w:rsid w:val="00712F3C"/>
    <w:rsid w:val="007170AA"/>
    <w:rsid w:val="007177FF"/>
    <w:rsid w:val="00725123"/>
    <w:rsid w:val="00732B66"/>
    <w:rsid w:val="00737C8F"/>
    <w:rsid w:val="007406DE"/>
    <w:rsid w:val="00742F4E"/>
    <w:rsid w:val="00743E79"/>
    <w:rsid w:val="00744BEA"/>
    <w:rsid w:val="00751532"/>
    <w:rsid w:val="00751C37"/>
    <w:rsid w:val="0075769B"/>
    <w:rsid w:val="007757F3"/>
    <w:rsid w:val="007815DC"/>
    <w:rsid w:val="007A47FB"/>
    <w:rsid w:val="007B106B"/>
    <w:rsid w:val="007B275D"/>
    <w:rsid w:val="007E6AEB"/>
    <w:rsid w:val="007F01EC"/>
    <w:rsid w:val="007F0F58"/>
    <w:rsid w:val="007F7DF2"/>
    <w:rsid w:val="008079FA"/>
    <w:rsid w:val="00810D58"/>
    <w:rsid w:val="00830113"/>
    <w:rsid w:val="00835B31"/>
    <w:rsid w:val="00853BC9"/>
    <w:rsid w:val="0086215B"/>
    <w:rsid w:val="008646DE"/>
    <w:rsid w:val="00864902"/>
    <w:rsid w:val="00864BE7"/>
    <w:rsid w:val="00865200"/>
    <w:rsid w:val="00871695"/>
    <w:rsid w:val="00891C25"/>
    <w:rsid w:val="008931BD"/>
    <w:rsid w:val="008973EE"/>
    <w:rsid w:val="008D089D"/>
    <w:rsid w:val="008E1006"/>
    <w:rsid w:val="008E24A5"/>
    <w:rsid w:val="008F0B04"/>
    <w:rsid w:val="008F0CAC"/>
    <w:rsid w:val="008F7C55"/>
    <w:rsid w:val="00930694"/>
    <w:rsid w:val="0093521F"/>
    <w:rsid w:val="00945677"/>
    <w:rsid w:val="00955B84"/>
    <w:rsid w:val="00962F78"/>
    <w:rsid w:val="0096609F"/>
    <w:rsid w:val="009701C1"/>
    <w:rsid w:val="00971600"/>
    <w:rsid w:val="00984342"/>
    <w:rsid w:val="009973B4"/>
    <w:rsid w:val="00997D09"/>
    <w:rsid w:val="009B6E9B"/>
    <w:rsid w:val="009B7EB8"/>
    <w:rsid w:val="009C74D1"/>
    <w:rsid w:val="009E30DA"/>
    <w:rsid w:val="009E6193"/>
    <w:rsid w:val="009E7DD1"/>
    <w:rsid w:val="009F7EED"/>
    <w:rsid w:val="00A036B5"/>
    <w:rsid w:val="00A138EC"/>
    <w:rsid w:val="00A22676"/>
    <w:rsid w:val="00A60F0B"/>
    <w:rsid w:val="00A801DE"/>
    <w:rsid w:val="00A90A22"/>
    <w:rsid w:val="00A97734"/>
    <w:rsid w:val="00AA7F40"/>
    <w:rsid w:val="00AB41FC"/>
    <w:rsid w:val="00AB7D2F"/>
    <w:rsid w:val="00AD6F34"/>
    <w:rsid w:val="00AF0AAB"/>
    <w:rsid w:val="00AF156F"/>
    <w:rsid w:val="00AF616B"/>
    <w:rsid w:val="00B02A7F"/>
    <w:rsid w:val="00B0685B"/>
    <w:rsid w:val="00B218ED"/>
    <w:rsid w:val="00B22D22"/>
    <w:rsid w:val="00B23030"/>
    <w:rsid w:val="00B237B9"/>
    <w:rsid w:val="00B23CAA"/>
    <w:rsid w:val="00B410EE"/>
    <w:rsid w:val="00B8202D"/>
    <w:rsid w:val="00B929FD"/>
    <w:rsid w:val="00B95B99"/>
    <w:rsid w:val="00B95F69"/>
    <w:rsid w:val="00BA76FA"/>
    <w:rsid w:val="00BC2015"/>
    <w:rsid w:val="00BC71B0"/>
    <w:rsid w:val="00BD0CE3"/>
    <w:rsid w:val="00BF28CD"/>
    <w:rsid w:val="00BF597E"/>
    <w:rsid w:val="00C03098"/>
    <w:rsid w:val="00C14685"/>
    <w:rsid w:val="00C31C73"/>
    <w:rsid w:val="00C51A36"/>
    <w:rsid w:val="00C548BE"/>
    <w:rsid w:val="00C55228"/>
    <w:rsid w:val="00C67E19"/>
    <w:rsid w:val="00C67E47"/>
    <w:rsid w:val="00C71E85"/>
    <w:rsid w:val="00C86F9B"/>
    <w:rsid w:val="00C87FEE"/>
    <w:rsid w:val="00C920A9"/>
    <w:rsid w:val="00CA303E"/>
    <w:rsid w:val="00CA659B"/>
    <w:rsid w:val="00CB260B"/>
    <w:rsid w:val="00CB787D"/>
    <w:rsid w:val="00CD2FB2"/>
    <w:rsid w:val="00CE2A9E"/>
    <w:rsid w:val="00CE315A"/>
    <w:rsid w:val="00CE7BE1"/>
    <w:rsid w:val="00CF147A"/>
    <w:rsid w:val="00CF1726"/>
    <w:rsid w:val="00CF6C5C"/>
    <w:rsid w:val="00D0162A"/>
    <w:rsid w:val="00D06F59"/>
    <w:rsid w:val="00D3392D"/>
    <w:rsid w:val="00D429D7"/>
    <w:rsid w:val="00D44C1E"/>
    <w:rsid w:val="00D54940"/>
    <w:rsid w:val="00D55E69"/>
    <w:rsid w:val="00D562F6"/>
    <w:rsid w:val="00D8388C"/>
    <w:rsid w:val="00DA0DF0"/>
    <w:rsid w:val="00DA32AB"/>
    <w:rsid w:val="00DA50ED"/>
    <w:rsid w:val="00DB5DEA"/>
    <w:rsid w:val="00DD1C8E"/>
    <w:rsid w:val="00DE146D"/>
    <w:rsid w:val="00DE2D80"/>
    <w:rsid w:val="00DE6FCE"/>
    <w:rsid w:val="00DF76DB"/>
    <w:rsid w:val="00E038E4"/>
    <w:rsid w:val="00E03908"/>
    <w:rsid w:val="00E13D9A"/>
    <w:rsid w:val="00E32D13"/>
    <w:rsid w:val="00E43822"/>
    <w:rsid w:val="00E54035"/>
    <w:rsid w:val="00E574D6"/>
    <w:rsid w:val="00E62996"/>
    <w:rsid w:val="00E63714"/>
    <w:rsid w:val="00E64A51"/>
    <w:rsid w:val="00E676F9"/>
    <w:rsid w:val="00E910C0"/>
    <w:rsid w:val="00E97424"/>
    <w:rsid w:val="00EA55F7"/>
    <w:rsid w:val="00EB0164"/>
    <w:rsid w:val="00EB5DF5"/>
    <w:rsid w:val="00EB65F7"/>
    <w:rsid w:val="00EC42F5"/>
    <w:rsid w:val="00ED0F62"/>
    <w:rsid w:val="00ED2ED6"/>
    <w:rsid w:val="00ED49F1"/>
    <w:rsid w:val="00EF36E7"/>
    <w:rsid w:val="00F05C2F"/>
    <w:rsid w:val="00F06D09"/>
    <w:rsid w:val="00F10FA0"/>
    <w:rsid w:val="00F11201"/>
    <w:rsid w:val="00F1140F"/>
    <w:rsid w:val="00F12002"/>
    <w:rsid w:val="00F14D99"/>
    <w:rsid w:val="00F30382"/>
    <w:rsid w:val="00F32CB9"/>
    <w:rsid w:val="00F33729"/>
    <w:rsid w:val="00F35CD7"/>
    <w:rsid w:val="00F4057A"/>
    <w:rsid w:val="00F4227D"/>
    <w:rsid w:val="00F606E1"/>
    <w:rsid w:val="00F6739D"/>
    <w:rsid w:val="00F80156"/>
    <w:rsid w:val="00F83639"/>
    <w:rsid w:val="00F840C3"/>
    <w:rsid w:val="00F856F5"/>
    <w:rsid w:val="00F956F5"/>
    <w:rsid w:val="00FA0833"/>
    <w:rsid w:val="00FA350D"/>
    <w:rsid w:val="00FB03C3"/>
    <w:rsid w:val="00FB5A65"/>
    <w:rsid w:val="00FD2869"/>
    <w:rsid w:val="00FD5EE5"/>
    <w:rsid w:val="00FD72A6"/>
    <w:rsid w:val="00FE09C9"/>
    <w:rsid w:val="013E58A3"/>
    <w:rsid w:val="06C118FC"/>
    <w:rsid w:val="08EE531C"/>
    <w:rsid w:val="108219C2"/>
    <w:rsid w:val="18600A32"/>
    <w:rsid w:val="1B4E7399"/>
    <w:rsid w:val="1B860A8E"/>
    <w:rsid w:val="1D4D68FC"/>
    <w:rsid w:val="25817B6F"/>
    <w:rsid w:val="33B540DF"/>
    <w:rsid w:val="36AD5A53"/>
    <w:rsid w:val="383E4336"/>
    <w:rsid w:val="3D492300"/>
    <w:rsid w:val="44D729C7"/>
    <w:rsid w:val="4AD43C85"/>
    <w:rsid w:val="4EB950A8"/>
    <w:rsid w:val="51D45975"/>
    <w:rsid w:val="5AE86ED1"/>
    <w:rsid w:val="5EA12B9A"/>
    <w:rsid w:val="6A1B02E1"/>
    <w:rsid w:val="6B577D97"/>
    <w:rsid w:val="6DAB1AEB"/>
    <w:rsid w:val="73C54C2F"/>
    <w:rsid w:val="783A0686"/>
    <w:rsid w:val="784B6E8F"/>
    <w:rsid w:val="7B3F7A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8"/>
    <w:semiHidden/>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link w:val="3"/>
    <w:semiHidden/>
    <w:qFormat/>
    <w:locked/>
    <w:uiPriority w:val="99"/>
    <w:rPr>
      <w:rFonts w:ascii="Times New Roman" w:hAnsi="Times New Roman" w:eastAsia="宋体" w:cs="Times New Roman"/>
      <w:sz w:val="18"/>
      <w:szCs w:val="18"/>
    </w:rPr>
  </w:style>
  <w:style w:type="character" w:customStyle="1" w:styleId="9">
    <w:name w:val="页脚 Char"/>
    <w:link w:val="4"/>
    <w:qFormat/>
    <w:locked/>
    <w:uiPriority w:val="99"/>
    <w:rPr>
      <w:rFonts w:ascii="Times New Roman" w:hAnsi="Times New Roman" w:eastAsia="宋体" w:cs="Times New Roman"/>
      <w:sz w:val="18"/>
      <w:szCs w:val="18"/>
    </w:rPr>
  </w:style>
  <w:style w:type="character" w:customStyle="1" w:styleId="10">
    <w:name w:val="页眉 Char"/>
    <w:link w:val="5"/>
    <w:qFormat/>
    <w:locked/>
    <w:uiPriority w:val="99"/>
    <w:rPr>
      <w:rFonts w:ascii="Times New Roman" w:hAnsi="Times New Roman" w:eastAsia="宋体" w:cs="Times New Roman"/>
      <w:sz w:val="18"/>
      <w:szCs w:val="18"/>
    </w:rPr>
  </w:style>
  <w:style w:type="character" w:customStyle="1" w:styleId="11">
    <w:name w:val="Char Char1"/>
    <w:qFormat/>
    <w:locked/>
    <w:uiPriority w:val="99"/>
    <w:rPr>
      <w:rFonts w:ascii="宋体" w:hAnsi="Courier New" w:eastAsia="宋体"/>
      <w:kern w:val="2"/>
      <w:sz w:val="21"/>
      <w:lang w:val="en-US" w:eastAsia="zh-CN"/>
    </w:rPr>
  </w:style>
  <w:style w:type="character" w:customStyle="1" w:styleId="12">
    <w:name w:val="fontstyle01"/>
    <w:qFormat/>
    <w:uiPriority w:val="99"/>
    <w:rPr>
      <w:rFonts w:ascii="宋体" w:hAnsi="宋体" w:eastAsia="宋体" w:cs="Times New Roman"/>
      <w:color w:val="000000"/>
      <w:sz w:val="24"/>
      <w:szCs w:val="24"/>
    </w:rPr>
  </w:style>
  <w:style w:type="character" w:customStyle="1" w:styleId="13">
    <w:name w:val="fontstyle21"/>
    <w:qFormat/>
    <w:uiPriority w:val="99"/>
    <w:rPr>
      <w:rFonts w:ascii="Times New Roman" w:hAnsi="Times New Roman" w:cs="Times New Roman"/>
      <w:color w:val="000000"/>
      <w:sz w:val="24"/>
      <w:szCs w:val="24"/>
    </w:rPr>
  </w:style>
  <w:style w:type="paragraph" w:customStyle="1" w:styleId="14">
    <w:name w:val="Default"/>
    <w:qFormat/>
    <w:uiPriority w:val="6"/>
    <w:pPr>
      <w:widowControl w:val="0"/>
    </w:pPr>
    <w:rPr>
      <w:rFonts w:ascii="Sim Sun+ 2" w:hAnsi="Sim Sun+ 2" w:eastAsia="方正兰亭超细黑简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1151</Words>
  <Characters>6566</Characters>
  <Lines>54</Lines>
  <Paragraphs>15</Paragraphs>
  <TotalTime>2</TotalTime>
  <ScaleCrop>false</ScaleCrop>
  <LinksUpToDate>false</LinksUpToDate>
  <CharactersWithSpaces>7702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2019-05-18T04:55:00Z</dcterms:created>
  <dc:creator>微软用户</dc:creator>
  <cp:lastModifiedBy>Lenovo</cp:lastModifiedBy>
  <dcterms:modified xsi:type="dcterms:W3CDTF">2021-09-24T07:27:38Z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5D878D233A104957950258FA5253818D</vt:lpwstr>
  </property>
</Properties>
</file>