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浙江嘉顿木业有限公司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丁旭卫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下料→加工→组装→打磨→油漆→检验→包装→入库；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关键控制点：加工、油漆。按照策划的作业指导书作业。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重要环境因素：噪声、废气、固废、火灾，制定了管理方案和应急管理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Cs w:val="24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pacing w:val="-8"/>
                <w:szCs w:val="24"/>
              </w:rPr>
              <w:t>外观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rFonts w:ascii="宋体" w:hAnsi="宋体"/>
                <w:spacing w:val="-8"/>
                <w:szCs w:val="24"/>
              </w:rPr>
              <w:t>尺寸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szCs w:val="24"/>
              </w:rPr>
              <w:t>有</w:t>
            </w:r>
            <w:r>
              <w:rPr>
                <w:rFonts w:hint="eastAsia"/>
                <w:szCs w:val="24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审核技巧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9" w:name="_GoBack"/>
      <w:bookmarkEnd w:id="9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7A6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2021-09-22T07:27:58Z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