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楷体" w:hAnsi="楷体" w:eastAsia="楷体"/>
          <w:bCs/>
          <w:sz w:val="36"/>
          <w:szCs w:val="36"/>
        </w:rPr>
      </w:pPr>
      <w:r>
        <w:rPr>
          <w:rFonts w:hint="eastAsia" w:ascii="楷体" w:hAnsi="楷体" w:eastAsia="楷体"/>
          <w:bCs/>
          <w:sz w:val="36"/>
          <w:szCs w:val="36"/>
        </w:rPr>
        <w:t>管理体系远程审核记录表</w:t>
      </w:r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276"/>
        <w:gridCol w:w="11056"/>
        <w:gridCol w:w="9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384" w:type="dxa"/>
            <w:vMerge w:val="restart"/>
            <w:vAlign w:val="center"/>
          </w:tcPr>
          <w:p>
            <w:pPr>
              <w:spacing w:before="120"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过程与活动、</w:t>
            </w:r>
          </w:p>
          <w:p>
            <w:pPr>
              <w:spacing w:line="360" w:lineRule="auto"/>
              <w:jc w:val="center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抽样计划</w:t>
            </w:r>
          </w:p>
        </w:tc>
        <w:tc>
          <w:tcPr>
            <w:tcW w:w="1276" w:type="dxa"/>
            <w:vMerge w:val="restart"/>
            <w:vAlign w:val="center"/>
          </w:tcPr>
          <w:p>
            <w:pPr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涉及条款</w:t>
            </w:r>
          </w:p>
        </w:tc>
        <w:tc>
          <w:tcPr>
            <w:tcW w:w="11056" w:type="dxa"/>
            <w:vAlign w:val="center"/>
          </w:tcPr>
          <w:p>
            <w:pPr>
              <w:rPr>
                <w:rFonts w:hint="default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受审核部门：质检部     主管领导：叶水平        陪同人员：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屠菊蕾</w:t>
            </w:r>
          </w:p>
        </w:tc>
        <w:tc>
          <w:tcPr>
            <w:tcW w:w="993" w:type="dxa"/>
            <w:vMerge w:val="restart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384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276" w:type="dxa"/>
            <w:vMerge w:val="continue"/>
            <w:vAlign w:val="center"/>
          </w:tcPr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>
            <w:pPr>
              <w:spacing w:before="120"/>
              <w:rPr>
                <w:rFonts w:hint="default" w:ascii="楷体" w:hAnsi="楷体" w:eastAsia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审核员：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伍光华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            审核时间：202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1.9.22</w:t>
            </w:r>
          </w:p>
        </w:tc>
        <w:tc>
          <w:tcPr>
            <w:tcW w:w="993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84" w:type="dxa"/>
            <w:vMerge w:val="continue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276" w:type="dxa"/>
            <w:vMerge w:val="continue"/>
            <w:vAlign w:val="center"/>
          </w:tcPr>
          <w:p>
            <w:pPr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>
            <w:pPr>
              <w:adjustRightInd w:val="0"/>
              <w:snapToGrid w:val="0"/>
              <w:spacing w:line="320" w:lineRule="exact"/>
              <w:ind w:right="105" w:rightChars="50"/>
              <w:textAlignment w:val="baseline"/>
              <w:rPr>
                <w:rFonts w:ascii="宋体" w:hAnsi="宋体" w:cs="Arial"/>
                <w:b/>
                <w:szCs w:val="21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审核条款：</w:t>
            </w:r>
            <w:r>
              <w:rPr>
                <w:rFonts w:hint="eastAsia" w:ascii="宋体" w:hAnsi="宋体" w:cs="Arial"/>
                <w:szCs w:val="21"/>
              </w:rPr>
              <w:t>QMS:5.3组织的岗位、职责和权限、6.2质量目标、7.1.5监视和测量资源、8.6产品和服务的放行、8.7不合格输出的控制，</w:t>
            </w:r>
            <w:r>
              <w:rPr>
                <w:rFonts w:ascii="宋体" w:hAnsi="宋体" w:cs="Arial"/>
                <w:b/>
                <w:szCs w:val="21"/>
              </w:rPr>
              <w:t xml:space="preserve"> </w:t>
            </w:r>
          </w:p>
          <w:p>
            <w:pPr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宋体" w:hAnsi="宋体" w:cs="Arial"/>
                <w:szCs w:val="21"/>
              </w:rPr>
              <w:t>OHMS: 5.3组织的岗位、职责和权限、6.2环境与职业健康安全目标、6.1. 2环境因素/危险源辨识与评价、8.1运行策划和控制，</w:t>
            </w:r>
          </w:p>
        </w:tc>
        <w:tc>
          <w:tcPr>
            <w:tcW w:w="993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b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组织的岗位、职责和权限</w:t>
            </w:r>
          </w:p>
        </w:tc>
        <w:tc>
          <w:tcPr>
            <w:tcW w:w="1276" w:type="dxa"/>
          </w:tcPr>
          <w:p>
            <w:pPr>
              <w:spacing w:line="360" w:lineRule="auto"/>
              <w:rPr>
                <w:rFonts w:ascii="楷体" w:hAnsi="楷体" w:eastAsia="楷体" w:cs="Arial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QEO 5.3</w:t>
            </w:r>
          </w:p>
        </w:tc>
        <w:tc>
          <w:tcPr>
            <w:tcW w:w="11056" w:type="dxa"/>
          </w:tcPr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质检部主要作用、职责和权限包括:负责计量设备管理、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产品检验，不合格品管理，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负责部门环境因素、危险源辨识和控制，负责检验过程运行的环境和安全控制。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质检部上述作用和职责、权限基本得到有效沟通和实施。</w:t>
            </w:r>
          </w:p>
        </w:tc>
        <w:tc>
          <w:tcPr>
            <w:tcW w:w="993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rPr>
                <w:rFonts w:ascii="楷体" w:hAnsi="楷体" w:eastAsia="楷体" w:cs="Arial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 xml:space="preserve">目标 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rPr>
                <w:rFonts w:ascii="楷体" w:hAnsi="楷体" w:eastAsia="楷体" w:cs="Arial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QEO:6.2</w:t>
            </w:r>
          </w:p>
        </w:tc>
        <w:tc>
          <w:tcPr>
            <w:tcW w:w="11056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部</w:t>
            </w:r>
            <w:r>
              <w:rPr>
                <w:rFonts w:hint="eastAsia" w:ascii="楷体" w:hAnsi="楷体" w:eastAsia="楷体"/>
                <w:sz w:val="24"/>
                <w:szCs w:val="24"/>
              </w:rPr>
              <w:t xml:space="preserve">门目标：                 </w:t>
            </w:r>
          </w:p>
          <w:tbl>
            <w:tblPr>
              <w:tblStyle w:val="7"/>
              <w:tblW w:w="9242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66"/>
              <w:gridCol w:w="4366"/>
              <w:gridCol w:w="1842"/>
              <w:gridCol w:w="2268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66" w:type="dxa"/>
                </w:tcPr>
                <w:p>
                  <w:pPr>
                    <w:spacing w:line="220" w:lineRule="atLeast"/>
                    <w:jc w:val="center"/>
                    <w:rPr>
                      <w:rFonts w:ascii="楷体" w:hAnsi="楷体" w:eastAsia="楷体"/>
                      <w:sz w:val="24"/>
                      <w:szCs w:val="24"/>
                    </w:rPr>
                  </w:pPr>
                  <w:r>
                    <w:rPr>
                      <w:rFonts w:ascii="楷体" w:hAnsi="楷体" w:eastAsia="楷体"/>
                      <w:sz w:val="24"/>
                      <w:szCs w:val="24"/>
                    </w:rPr>
                    <w:t>部门</w:t>
                  </w:r>
                </w:p>
              </w:tc>
              <w:tc>
                <w:tcPr>
                  <w:tcW w:w="4366" w:type="dxa"/>
                </w:tcPr>
                <w:p>
                  <w:pPr>
                    <w:spacing w:line="220" w:lineRule="atLeast"/>
                    <w:jc w:val="center"/>
                    <w:rPr>
                      <w:rFonts w:ascii="楷体" w:hAnsi="楷体" w:eastAsia="楷体"/>
                      <w:sz w:val="24"/>
                      <w:szCs w:val="24"/>
                    </w:rPr>
                  </w:pPr>
                  <w:r>
                    <w:rPr>
                      <w:rFonts w:ascii="楷体" w:hAnsi="楷体" w:eastAsia="楷体"/>
                      <w:sz w:val="24"/>
                      <w:szCs w:val="24"/>
                    </w:rPr>
                    <w:t>目标</w:t>
                  </w:r>
                </w:p>
              </w:tc>
              <w:tc>
                <w:tcPr>
                  <w:tcW w:w="1842" w:type="dxa"/>
                </w:tcPr>
                <w:p>
                  <w:pPr>
                    <w:spacing w:line="220" w:lineRule="atLeast"/>
                    <w:jc w:val="center"/>
                    <w:rPr>
                      <w:rFonts w:ascii="楷体" w:hAnsi="楷体" w:eastAsia="楷体"/>
                      <w:sz w:val="24"/>
                      <w:szCs w:val="24"/>
                    </w:rPr>
                  </w:pPr>
                  <w:r>
                    <w:rPr>
                      <w:rFonts w:ascii="楷体" w:hAnsi="楷体" w:eastAsia="楷体"/>
                      <w:sz w:val="24"/>
                      <w:szCs w:val="24"/>
                    </w:rPr>
                    <w:t>计算方法</w:t>
                  </w:r>
                </w:p>
              </w:tc>
              <w:tc>
                <w:tcPr>
                  <w:tcW w:w="2268" w:type="dxa"/>
                </w:tcPr>
                <w:p>
                  <w:pPr>
                    <w:spacing w:line="220" w:lineRule="atLeast"/>
                    <w:jc w:val="center"/>
                    <w:rPr>
                      <w:rFonts w:ascii="楷体" w:hAnsi="楷体" w:eastAsia="楷体"/>
                      <w:sz w:val="24"/>
                      <w:szCs w:val="24"/>
                    </w:rPr>
                  </w:pPr>
                  <w:r>
                    <w:rPr>
                      <w:rFonts w:ascii="楷体" w:hAnsi="楷体" w:eastAsia="楷体"/>
                      <w:sz w:val="24"/>
                      <w:szCs w:val="24"/>
                    </w:rPr>
                    <w:t>完成情况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60" w:hRule="atLeast"/>
              </w:trPr>
              <w:tc>
                <w:tcPr>
                  <w:tcW w:w="766" w:type="dxa"/>
                  <w:vMerge w:val="restart"/>
                </w:tcPr>
                <w:p>
                  <w:pPr>
                    <w:spacing w:line="220" w:lineRule="atLeast"/>
                    <w:jc w:val="center"/>
                    <w:rPr>
                      <w:rFonts w:ascii="楷体" w:hAnsi="楷体" w:eastAsia="楷体"/>
                      <w:sz w:val="24"/>
                      <w:szCs w:val="24"/>
                    </w:rPr>
                  </w:pPr>
                  <w:r>
                    <w:rPr>
                      <w:rFonts w:hint="eastAsia" w:ascii="楷体" w:hAnsi="楷体" w:eastAsia="楷体"/>
                      <w:sz w:val="24"/>
                      <w:szCs w:val="24"/>
                    </w:rPr>
                    <w:t>质检部</w:t>
                  </w:r>
                </w:p>
                <w:p>
                  <w:pPr>
                    <w:spacing w:line="220" w:lineRule="atLeast"/>
                    <w:jc w:val="center"/>
                    <w:rPr>
                      <w:rFonts w:ascii="楷体" w:hAnsi="楷体" w:eastAsia="楷体"/>
                      <w:sz w:val="24"/>
                      <w:szCs w:val="24"/>
                    </w:rPr>
                  </w:pPr>
                </w:p>
              </w:tc>
              <w:tc>
                <w:tcPr>
                  <w:tcW w:w="4366" w:type="dxa"/>
                  <w:vAlign w:val="center"/>
                </w:tcPr>
                <w:p>
                  <w:pPr>
                    <w:pStyle w:val="2"/>
                    <w:spacing w:before="46" w:beforeLines="15" w:after="46" w:afterLines="15" w:line="0" w:lineRule="atLeast"/>
                    <w:ind w:left="0"/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  <w:t>1.错漏检率≤0.1%</w:t>
                  </w:r>
                </w:p>
              </w:tc>
              <w:tc>
                <w:tcPr>
                  <w:tcW w:w="1842" w:type="dxa"/>
                  <w:vAlign w:val="center"/>
                </w:tcPr>
                <w:p>
                  <w:pPr>
                    <w:pStyle w:val="2"/>
                    <w:spacing w:before="46" w:beforeLines="15" w:after="46" w:afterLines="15" w:line="0" w:lineRule="atLeast"/>
                    <w:ind w:left="0"/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  <w:t>错漏检率＝错漏数÷检验数×100%</w:t>
                  </w:r>
                </w:p>
              </w:tc>
              <w:tc>
                <w:tcPr>
                  <w:tcW w:w="2268" w:type="dxa"/>
                  <w:vAlign w:val="center"/>
                </w:tcPr>
                <w:p>
                  <w:pPr>
                    <w:pStyle w:val="2"/>
                    <w:spacing w:before="46" w:beforeLines="15" w:after="46" w:afterLines="15" w:line="0" w:lineRule="atLeast"/>
                    <w:ind w:left="0"/>
                    <w:jc w:val="center"/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3" w:hRule="atLeast"/>
              </w:trPr>
              <w:tc>
                <w:tcPr>
                  <w:tcW w:w="766" w:type="dxa"/>
                  <w:vMerge w:val="continue"/>
                </w:tcPr>
                <w:p>
                  <w:pPr>
                    <w:spacing w:line="220" w:lineRule="atLeast"/>
                    <w:jc w:val="center"/>
                    <w:rPr>
                      <w:rFonts w:ascii="楷体" w:hAnsi="楷体" w:eastAsia="楷体"/>
                      <w:sz w:val="24"/>
                      <w:szCs w:val="24"/>
                    </w:rPr>
                  </w:pPr>
                </w:p>
              </w:tc>
              <w:tc>
                <w:tcPr>
                  <w:tcW w:w="4366" w:type="dxa"/>
                  <w:vAlign w:val="center"/>
                </w:tcPr>
                <w:p>
                  <w:pPr>
                    <w:spacing w:line="400" w:lineRule="exact"/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  <w:t>2.质量问题处理率100%</w:t>
                  </w:r>
                </w:p>
              </w:tc>
              <w:tc>
                <w:tcPr>
                  <w:tcW w:w="1842" w:type="dxa"/>
                  <w:vAlign w:val="center"/>
                </w:tcPr>
                <w:p>
                  <w:pPr>
                    <w:pStyle w:val="2"/>
                    <w:spacing w:before="46" w:beforeLines="15" w:after="46" w:afterLines="15" w:line="0" w:lineRule="atLeast"/>
                    <w:ind w:left="0"/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  <w:t>处理率＝问题数÷处理数×100%</w:t>
                  </w:r>
                </w:p>
              </w:tc>
              <w:tc>
                <w:tcPr>
                  <w:tcW w:w="2268" w:type="dxa"/>
                  <w:vAlign w:val="center"/>
                </w:tcPr>
                <w:p>
                  <w:pPr>
                    <w:pStyle w:val="2"/>
                    <w:spacing w:before="46" w:beforeLines="15" w:after="46" w:afterLines="15" w:line="0" w:lineRule="atLeast"/>
                    <w:ind w:left="0"/>
                    <w:jc w:val="center"/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  <w:t>100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08" w:hRule="atLeast"/>
              </w:trPr>
              <w:tc>
                <w:tcPr>
                  <w:tcW w:w="766" w:type="dxa"/>
                  <w:vMerge w:val="continue"/>
                </w:tcPr>
                <w:p>
                  <w:pPr>
                    <w:spacing w:line="220" w:lineRule="atLeast"/>
                    <w:jc w:val="center"/>
                    <w:rPr>
                      <w:rFonts w:ascii="楷体" w:hAnsi="楷体" w:eastAsia="楷体"/>
                      <w:sz w:val="24"/>
                      <w:szCs w:val="24"/>
                    </w:rPr>
                  </w:pPr>
                </w:p>
              </w:tc>
              <w:tc>
                <w:tcPr>
                  <w:tcW w:w="4366" w:type="dxa"/>
                  <w:vAlign w:val="center"/>
                </w:tcPr>
                <w:p>
                  <w:pPr>
                    <w:spacing w:line="400" w:lineRule="exact"/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黑体" w:hAnsi="黑体" w:eastAsia="黑体" w:cs="黑体"/>
                    </w:rPr>
                    <w:t>3.办公场所分类处理各类废弃物，有专门收集箱并标识，回收处理率≥99%.</w:t>
                  </w:r>
                </w:p>
              </w:tc>
              <w:tc>
                <w:tcPr>
                  <w:tcW w:w="1842" w:type="dxa"/>
                  <w:vAlign w:val="center"/>
                </w:tcPr>
                <w:p>
                  <w:pPr>
                    <w:pStyle w:val="2"/>
                    <w:spacing w:before="46" w:beforeLines="15" w:after="46" w:afterLines="15" w:line="0" w:lineRule="atLeast"/>
                    <w:ind w:left="0"/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  <w:t>处理率＝应回收处理总数÷处理率×100%</w:t>
                  </w:r>
                </w:p>
              </w:tc>
              <w:tc>
                <w:tcPr>
                  <w:tcW w:w="2268" w:type="dxa"/>
                  <w:vAlign w:val="center"/>
                </w:tcPr>
                <w:p>
                  <w:pPr>
                    <w:pStyle w:val="2"/>
                    <w:spacing w:before="46" w:beforeLines="15" w:after="46" w:afterLines="15" w:line="0" w:lineRule="atLeast"/>
                    <w:ind w:left="0"/>
                    <w:jc w:val="center"/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  <w:t>100%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7" w:hRule="atLeast"/>
              </w:trPr>
              <w:tc>
                <w:tcPr>
                  <w:tcW w:w="766" w:type="dxa"/>
                  <w:vMerge w:val="continue"/>
                </w:tcPr>
                <w:p>
                  <w:pPr>
                    <w:spacing w:line="220" w:lineRule="atLeast"/>
                    <w:jc w:val="center"/>
                    <w:rPr>
                      <w:rFonts w:ascii="楷体" w:hAnsi="楷体" w:eastAsia="楷体"/>
                      <w:sz w:val="24"/>
                      <w:szCs w:val="24"/>
                    </w:rPr>
                  </w:pPr>
                </w:p>
              </w:tc>
              <w:tc>
                <w:tcPr>
                  <w:tcW w:w="4366" w:type="dxa"/>
                  <w:vAlign w:val="center"/>
                </w:tcPr>
                <w:p>
                  <w:pPr>
                    <w:pStyle w:val="2"/>
                    <w:spacing w:before="46" w:beforeLines="15" w:after="46" w:afterLines="15" w:line="0" w:lineRule="atLeast"/>
                    <w:ind w:left="0"/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  <w:t>4.职业病发生率0</w:t>
                  </w:r>
                </w:p>
              </w:tc>
              <w:tc>
                <w:tcPr>
                  <w:tcW w:w="1842" w:type="dxa"/>
                  <w:vAlign w:val="center"/>
                </w:tcPr>
                <w:p>
                  <w:pPr>
                    <w:pStyle w:val="2"/>
                    <w:spacing w:before="46" w:beforeLines="15" w:after="46" w:afterLines="15" w:line="0" w:lineRule="atLeast"/>
                    <w:ind w:left="0"/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  <w:t>发生率＝发生总数÷发生次数×100%</w:t>
                  </w:r>
                </w:p>
              </w:tc>
              <w:tc>
                <w:tcPr>
                  <w:tcW w:w="2268" w:type="dxa"/>
                  <w:vAlign w:val="center"/>
                </w:tcPr>
                <w:p>
                  <w:pPr>
                    <w:pStyle w:val="2"/>
                    <w:spacing w:before="46" w:beforeLines="15" w:after="46" w:afterLines="15" w:line="0" w:lineRule="atLeast"/>
                    <w:ind w:left="0"/>
                    <w:jc w:val="center"/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color w:val="000000"/>
                      <w:sz w:val="24"/>
                      <w:szCs w:val="24"/>
                    </w:rPr>
                    <w:t>0</w:t>
                  </w:r>
                </w:p>
              </w:tc>
            </w:tr>
          </w:tbl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考核情况：202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.5.30日考核已完成。</w:t>
            </w:r>
          </w:p>
          <w:p>
            <w:pPr>
              <w:spacing w:line="360" w:lineRule="auto"/>
              <w:rPr>
                <w:rFonts w:ascii="楷体" w:hAnsi="楷体" w:eastAsia="楷体" w:cs="Arial"/>
                <w:sz w:val="24"/>
                <w:szCs w:val="24"/>
              </w:rPr>
            </w:pPr>
          </w:p>
        </w:tc>
        <w:tc>
          <w:tcPr>
            <w:tcW w:w="993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监视和测量资源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bCs/>
                <w:sz w:val="24"/>
                <w:szCs w:val="24"/>
              </w:rPr>
            </w:pPr>
            <w:r>
              <w:rPr>
                <w:rFonts w:ascii="楷体" w:hAnsi="楷体" w:eastAsia="楷体"/>
                <w:bCs/>
                <w:sz w:val="24"/>
                <w:szCs w:val="24"/>
              </w:rPr>
              <w:t>Q7.1.5</w:t>
            </w:r>
          </w:p>
        </w:tc>
        <w:tc>
          <w:tcPr>
            <w:tcW w:w="11056" w:type="dxa"/>
            <w:vAlign w:val="center"/>
          </w:tcPr>
          <w:p>
            <w:pPr>
              <w:spacing w:line="360" w:lineRule="auto"/>
              <w:rPr>
                <w:rFonts w:ascii="楷体" w:hAnsi="楷体" w:eastAsia="楷体"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公司提供《计量器具管理台帐》，主要有游标卡尺、钢卷尺等监视和测量设备，检定/校准周期为1年。</w:t>
            </w:r>
          </w:p>
          <w:p>
            <w:pPr>
              <w:spacing w:line="360" w:lineRule="auto"/>
              <w:rPr>
                <w:rFonts w:ascii="楷体" w:hAnsi="楷体" w:eastAsia="楷体"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抽校准证书：</w:t>
            </w:r>
          </w:p>
          <w:p>
            <w:pPr>
              <w:spacing w:line="360" w:lineRule="auto"/>
              <w:rPr>
                <w:rFonts w:hint="default" w:ascii="楷体" w:hAnsi="楷体" w:eastAsia="楷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编号：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HK0108210717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 xml:space="preserve">    器具名称：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光泽度计</w:t>
            </w:r>
          </w:p>
          <w:p>
            <w:pPr>
              <w:spacing w:line="360" w:lineRule="auto"/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型号：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60</w:t>
            </w:r>
            <w:r>
              <w:rPr>
                <w:rFonts w:hint="default" w:ascii="Calibri" w:hAnsi="Calibri" w:eastAsia="楷体" w:cs="Calibri"/>
                <w:bCs/>
                <w:sz w:val="24"/>
                <w:szCs w:val="24"/>
                <w:lang w:val="en-US" w:eastAsia="zh-CN"/>
              </w:rPr>
              <w:t>°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/95.0GU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 xml:space="preserve">   校准日期：202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1.7.17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，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校准单位：深圳中衡检测技术有限公司。</w:t>
            </w:r>
          </w:p>
          <w:p>
            <w:pPr>
              <w:spacing w:line="360" w:lineRule="auto"/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编号：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HK0107210717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 xml:space="preserve">    器具名称：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木材水分测量仪</w:t>
            </w:r>
          </w:p>
          <w:p>
            <w:pPr>
              <w:spacing w:line="360" w:lineRule="auto"/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型号：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GM630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 xml:space="preserve">  校准日期：202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1.7.17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，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校准单位：深圳中衡检测技术有限公司。</w:t>
            </w:r>
          </w:p>
          <w:p>
            <w:pPr>
              <w:spacing w:line="360" w:lineRule="auto"/>
              <w:rPr>
                <w:rFonts w:hint="default" w:ascii="楷体" w:hAnsi="楷体" w:eastAsia="楷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编号：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HK0106210717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 xml:space="preserve">    器具名称：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游标卡尺</w:t>
            </w:r>
          </w:p>
          <w:p>
            <w:pPr>
              <w:spacing w:line="360" w:lineRule="auto"/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型号：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0-200mm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 xml:space="preserve">   校准日期：202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1.7.17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，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校准单位：深圳中衡检测技术有限公司。</w:t>
            </w:r>
          </w:p>
          <w:p>
            <w:pPr>
              <w:spacing w:line="360" w:lineRule="auto"/>
              <w:rPr>
                <w:rFonts w:hint="default" w:ascii="楷体" w:hAnsi="楷体" w:eastAsia="楷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编号：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HK0105210717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 xml:space="preserve">    器具名称：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卷尺</w:t>
            </w:r>
          </w:p>
          <w:p>
            <w:pPr>
              <w:spacing w:line="360" w:lineRule="auto"/>
              <w:rPr>
                <w:rFonts w:hint="default" w:ascii="楷体" w:hAnsi="楷体" w:eastAsia="楷体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型号：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3.5m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 xml:space="preserve">  校准日期：202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1.7.17</w:t>
            </w: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，</w:t>
            </w:r>
            <w:r>
              <w:rPr>
                <w:rFonts w:hint="eastAsia" w:ascii="楷体" w:hAnsi="楷体" w:eastAsia="楷体"/>
                <w:bCs/>
                <w:sz w:val="24"/>
                <w:szCs w:val="24"/>
                <w:lang w:val="en-US" w:eastAsia="zh-CN"/>
              </w:rPr>
              <w:t>校准单位：深圳中衡检测技术有限公司。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再查卡尺校准证书，未能提供，不符合规定要求，开具了不符合报告。</w:t>
            </w:r>
          </w:p>
          <w:p>
            <w:pPr>
              <w:spacing w:line="360" w:lineRule="auto"/>
              <w:rPr>
                <w:rFonts w:ascii="楷体" w:hAnsi="楷体" w:eastAsia="楷体"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 xml:space="preserve">   目前无计算机软件作为监视测量设备。</w:t>
            </w: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目前公司无封存和报废监视测量设备。</w:t>
            </w:r>
          </w:p>
        </w:tc>
        <w:tc>
          <w:tcPr>
            <w:tcW w:w="993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6" w:hRule="atLeast"/>
        </w:trPr>
        <w:tc>
          <w:tcPr>
            <w:tcW w:w="1384" w:type="dxa"/>
          </w:tcPr>
          <w:p>
            <w:pPr>
              <w:spacing w:line="360" w:lineRule="auto"/>
              <w:rPr>
                <w:rFonts w:ascii="楷体" w:hAnsi="楷体" w:eastAsia="楷体"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产品和服务的放行</w:t>
            </w:r>
          </w:p>
        </w:tc>
        <w:tc>
          <w:tcPr>
            <w:tcW w:w="1276" w:type="dxa"/>
          </w:tcPr>
          <w:p>
            <w:pPr>
              <w:spacing w:line="360" w:lineRule="auto"/>
              <w:jc w:val="left"/>
              <w:rPr>
                <w:rFonts w:ascii="楷体" w:hAnsi="楷体" w:eastAsia="楷体" w:cs="宋体"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bCs/>
                <w:sz w:val="24"/>
                <w:szCs w:val="24"/>
              </w:rPr>
              <w:t>Q8.6</w:t>
            </w:r>
          </w:p>
          <w:p>
            <w:pPr>
              <w:spacing w:line="360" w:lineRule="auto"/>
              <w:jc w:val="left"/>
              <w:rPr>
                <w:rFonts w:ascii="楷体" w:hAnsi="楷体" w:eastAsia="楷体" w:cs="宋体"/>
                <w:sz w:val="24"/>
                <w:szCs w:val="24"/>
              </w:rPr>
            </w:pPr>
          </w:p>
        </w:tc>
        <w:tc>
          <w:tcPr>
            <w:tcW w:w="11056" w:type="dxa"/>
          </w:tcPr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采购产品验收、生产过程检验、产品放行等依据顾客技术要求，详见Q8.1。</w:t>
            </w:r>
          </w:p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质检人员均经过公司培训考核合格具备检测能力，现场审核观察询问，检验员回答与操作皆符合规定要求。</w:t>
            </w:r>
          </w:p>
          <w:p>
            <w:pPr>
              <w:pStyle w:val="18"/>
              <w:numPr>
                <w:ilvl w:val="0"/>
                <w:numId w:val="1"/>
              </w:numPr>
              <w:spacing w:line="360" w:lineRule="auto"/>
              <w:ind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进货检验：检验依据原材料检验作业指导书，</w:t>
            </w:r>
          </w:p>
          <w:p>
            <w:pPr>
              <w:pStyle w:val="18"/>
              <w:spacing w:line="360" w:lineRule="auto"/>
              <w:ind w:left="360" w:firstLine="0"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提供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202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1年来料检验报告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，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抽查202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月进货检验情况，根据订单号对基材、封条、木皮等原材料进行了检验，结果合格。</w:t>
            </w:r>
          </w:p>
          <w:p>
            <w:pPr>
              <w:spacing w:line="360" w:lineRule="auto"/>
              <w:ind w:firstLine="480" w:firstLineChars="200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3086100</wp:posOffset>
                  </wp:positionH>
                  <wp:positionV relativeFrom="paragraph">
                    <wp:posOffset>119380</wp:posOffset>
                  </wp:positionV>
                  <wp:extent cx="2536825" cy="3382645"/>
                  <wp:effectExtent l="0" t="0" r="15875" b="8255"/>
                  <wp:wrapNone/>
                  <wp:docPr id="18" name="图片 18" descr="aa9abd919bc712275403471a7c29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a9abd919bc712275403471a7c2919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25" cy="338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95250</wp:posOffset>
                  </wp:positionV>
                  <wp:extent cx="2521585" cy="3362325"/>
                  <wp:effectExtent l="0" t="0" r="12065" b="9525"/>
                  <wp:wrapNone/>
                  <wp:docPr id="17" name="图片 17" descr="d7854f420d08459c83d4845f3511c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7854f420d08459c83d4845f3511cee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585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ind w:firstLine="480" w:firstLineChars="200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楷体" w:hAnsi="楷体" w:eastAsia="楷体"/>
                <w:sz w:val="24"/>
                <w:szCs w:val="24"/>
              </w:rPr>
            </w:pPr>
            <w:bookmarkStart w:id="2" w:name="_GoBack"/>
            <w:bookmarkEnd w:id="2"/>
          </w:p>
          <w:p>
            <w:pPr>
              <w:spacing w:line="360" w:lineRule="auto"/>
              <w:ind w:firstLine="480" w:firstLineChars="200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>没有发生在供方处进行验证的情况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提供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广西国旭林业发展公司中密度纤维板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的产品委托检验报告，质量合格。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提供上海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融兴木业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有限公司的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MDF板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的产品委托检验报告，质量合格。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提供广州市永特耐木胶贸易有限公司的胶水的产品检验报告，质量合格。</w:t>
            </w:r>
          </w:p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2、过程检验：检验依据检验作业指导书，</w:t>
            </w:r>
          </w:p>
          <w:p>
            <w:pPr>
              <w:pStyle w:val="18"/>
              <w:spacing w:line="360" w:lineRule="auto"/>
              <w:ind w:left="360" w:firstLine="0"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2584450</wp:posOffset>
                  </wp:positionH>
                  <wp:positionV relativeFrom="paragraph">
                    <wp:posOffset>-62230</wp:posOffset>
                  </wp:positionV>
                  <wp:extent cx="3288030" cy="4384675"/>
                  <wp:effectExtent l="0" t="0" r="15875" b="7620"/>
                  <wp:wrapNone/>
                  <wp:docPr id="14" name="图片 14" descr="5477b2f297ee6a1a2ba6e24c995a8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5477b2f297ee6a1a2ba6e24c995a8c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288030" cy="438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楷体" w:hAnsi="楷体" w:eastAsia="楷体"/>
                <w:sz w:val="24"/>
                <w:szCs w:val="24"/>
              </w:rPr>
              <w:t>提供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浙江嘉顿木业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公司首检记录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表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和质量检验表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，查202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9日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根据订单对木工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油漆</w:t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装配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的产品质量进行了检验。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927100</wp:posOffset>
                  </wp:positionH>
                  <wp:positionV relativeFrom="paragraph">
                    <wp:posOffset>-795020</wp:posOffset>
                  </wp:positionV>
                  <wp:extent cx="5146040" cy="6861175"/>
                  <wp:effectExtent l="0" t="0" r="15875" b="16510"/>
                  <wp:wrapNone/>
                  <wp:docPr id="15" name="图片 15" descr="6bfea3dc1cc8845b3b867362e9227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6bfea3dc1cc8845b3b867362e9227a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146040" cy="686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3、成品（出厂）检验：检验依据检验作业指导书、客户技术要求，</w:t>
            </w:r>
          </w:p>
          <w:p>
            <w:pPr>
              <w:pStyle w:val="18"/>
              <w:spacing w:line="360" w:lineRule="auto"/>
              <w:ind w:left="360" w:firstLine="0" w:firstLineChars="0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-284480</wp:posOffset>
                  </wp:positionV>
                  <wp:extent cx="4462145" cy="5950585"/>
                  <wp:effectExtent l="0" t="0" r="12065" b="14605"/>
                  <wp:wrapNone/>
                  <wp:docPr id="16" name="图片 16" descr="4718d3b4a937713d76f717177275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4718d3b4a937713d76f7171772756d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62145" cy="595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楷体" w:hAnsi="楷体" w:eastAsia="楷体"/>
                <w:sz w:val="24"/>
                <w:szCs w:val="24"/>
              </w:rPr>
              <w:t>提供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202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浙江嘉顿木业订单生产质量检验表，查202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月份根据订单对装配后成品质量进行了检验。</w:t>
            </w: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jc w:val="left"/>
              <w:rPr>
                <w:rFonts w:hint="eastAsia"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暂无授权人员批准或顾客批准放行产品和交付服务的情况。</w:t>
            </w:r>
          </w:p>
          <w:p>
            <w:pPr>
              <w:spacing w:line="360" w:lineRule="auto"/>
              <w:ind w:right="-6" w:rightChars="-3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 xml:space="preserve"> 4、第三方检验：</w:t>
            </w:r>
          </w:p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提供202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.4.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0日饰面密度板（开放漆）产品委托检验报告，结果合格，检验机构国家家具产品质量监督检验中心（浙江）。</w:t>
            </w:r>
          </w:p>
          <w:p>
            <w:pPr>
              <w:spacing w:line="360" w:lineRule="auto"/>
              <w:jc w:val="left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715260" cy="3620770"/>
                  <wp:effectExtent l="0" t="0" r="8890" b="17780"/>
                  <wp:docPr id="2" name="图片 2" descr="536f4b646745895195e764b6b2a4c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36f4b646745895195e764b6b2a4ca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260" cy="362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718435" cy="3624580"/>
                  <wp:effectExtent l="0" t="0" r="5715" b="13970"/>
                  <wp:docPr id="8" name="图片 8" descr="f241f2a6012d3cf2c653f8c6f9e0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f241f2a6012d3cf2c653f8c6f9e088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435" cy="362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提供202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0日饰面密度板（封闭漆）产品委托检验报告，结果合格，检验机构国家家具产品质量监督检验中心（浙江）。</w:t>
            </w:r>
          </w:p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rFonts w:hint="eastAsia" w:ascii="楷体" w:hAnsi="楷体" w:eastAsia="楷体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760345" cy="3681095"/>
                  <wp:effectExtent l="0" t="0" r="1905" b="14605"/>
                  <wp:docPr id="9" name="图片 9" descr="09f0a628dd6dd592376bbcc4e5e34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9f0a628dd6dd592376bbcc4e5e34f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345" cy="368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楷体" w:hAnsi="楷体" w:eastAsia="楷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765425" cy="3687445"/>
                  <wp:effectExtent l="0" t="0" r="15875" b="8255"/>
                  <wp:docPr id="10" name="图片 10" descr="f9aa7a8b522811f5cadd1a9b13c00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9aa7a8b522811f5cadd1a9b13c00b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25" cy="368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提供202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日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天然黑胡桃山纹油漆板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产品委托检验报告，结果合格，检验机构国家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建筑工程材料质量监督检验中心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。</w:t>
            </w:r>
          </w:p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ascii="楷体" w:hAnsi="楷体" w:eastAsia="楷体"/>
                <w:sz w:val="24"/>
                <w:szCs w:val="24"/>
              </w:rPr>
              <w:drawing>
                <wp:inline distT="0" distB="0" distL="114300" distR="114300">
                  <wp:extent cx="2237105" cy="2982595"/>
                  <wp:effectExtent l="0" t="0" r="10795" b="8255"/>
                  <wp:docPr id="11" name="图片 11" descr="3b490fe8c1ed9acf14b84d992f28e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3b490fe8c1ed9acf14b84d992f28ee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05" cy="298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hAnsi="楷体" w:eastAsia="楷体"/>
                <w:sz w:val="24"/>
                <w:szCs w:val="24"/>
              </w:rPr>
              <w:drawing>
                <wp:inline distT="0" distB="0" distL="114300" distR="114300">
                  <wp:extent cx="2237105" cy="2983230"/>
                  <wp:effectExtent l="0" t="0" r="10795" b="7620"/>
                  <wp:docPr id="12" name="图片 12" descr="3390b5d40d58fa0148f4191a11e5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3390b5d40d58fa0148f4191a11e575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05" cy="298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hAnsi="楷体" w:eastAsia="楷体"/>
                <w:sz w:val="24"/>
                <w:szCs w:val="24"/>
              </w:rPr>
              <w:drawing>
                <wp:inline distT="0" distB="0" distL="114300" distR="114300">
                  <wp:extent cx="2212975" cy="2951480"/>
                  <wp:effectExtent l="0" t="0" r="15875" b="1270"/>
                  <wp:docPr id="13" name="图片 13" descr="b365f9ddcc7e856b9a7dfee6d7373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b365f9ddcc7e856b9a7dfee6d7373b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975" cy="295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楷体" w:hAnsi="楷体" w:eastAsia="楷体"/>
                <w:sz w:val="24"/>
                <w:szCs w:val="24"/>
              </w:rPr>
              <w:pict>
                <v:shape id="_x0000_s1030" o:spid="_x0000_s1030" o:spt="100" style="position:absolute;left:0pt;margin-left:1266.15pt;margin-top:5287.55pt;height:0pt;width:0pt;z-index:251659264;mso-width-relative:page;mso-height-relative:page;" filled="f" coordsize="21600,21600" adj=",,">
                  <v:fill on="f" focussize="0,0"/>
                  <v:stroke weight="1pt" joinstyle="round" endcap="round"/>
                  <v:imagedata o:title=""/>
                  <o:lock v:ext="edit" rotation="t" text="t" aspectratio="t"/>
                  <o:ink i="ACQdAgICAxVIEUUjGwI5iwBGIxsCOYsAVw0AAAAKBwEOUlgQUlo=&#10;"/>
                </v:shape>
              </w:pict>
            </w:r>
          </w:p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rFonts w:ascii="楷体" w:hAnsi="楷体" w:eastAsia="楷体"/>
                <w:sz w:val="24"/>
                <w:szCs w:val="24"/>
              </w:rPr>
            </w:pPr>
          </w:p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通过上述记录了解到，组织对产品实现的各过程进行了有效的监视测量，并进行了相应状态的标识，产品必须经检验合格才能交付，确保能满足顾客对产品的质量要求。</w:t>
            </w:r>
          </w:p>
          <w:p>
            <w:pPr>
              <w:spacing w:line="360" w:lineRule="auto"/>
              <w:jc w:val="left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 w:cs="Arial"/>
                <w:sz w:val="24"/>
                <w:szCs w:val="24"/>
              </w:rPr>
              <w:t>公司产品的监视和测量控制基本符合规定要求。</w:t>
            </w:r>
          </w:p>
        </w:tc>
        <w:tc>
          <w:tcPr>
            <w:tcW w:w="993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2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不合格输出的控制</w:t>
            </w:r>
          </w:p>
        </w:tc>
        <w:tc>
          <w:tcPr>
            <w:tcW w:w="1276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ascii="楷体" w:hAnsi="楷体" w:eastAsia="楷体" w:cs="楷体"/>
                <w:sz w:val="24"/>
                <w:szCs w:val="24"/>
              </w:rPr>
              <w:t>Q8.7</w:t>
            </w:r>
          </w:p>
        </w:tc>
        <w:tc>
          <w:tcPr>
            <w:tcW w:w="11056" w:type="dxa"/>
            <w:vAlign w:val="center"/>
          </w:tcPr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公司制定并执行了JD-P-18-2020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ab/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《不合格控制程序》，文件对不合格品的识别、控制方法和职责权限做出了规定，基本符合标准要求。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对采购过程中的不合格品实施拒收、退货或让步接收的方式，目前未发现采购的不合格品。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对生产过程的不合格品实施返工、返修或报废，返工、返修后的产品进行再检验。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提供了不合</w:t>
            </w:r>
            <w:bookmarkStart w:id="0" w:name="_Hlt38188668"/>
            <w:r>
              <w:rPr>
                <w:rFonts w:hint="eastAsia" w:ascii="楷体" w:hAnsi="楷体" w:eastAsia="楷体" w:cs="楷体"/>
                <w:sz w:val="24"/>
                <w:szCs w:val="24"/>
              </w:rPr>
              <w:t>格</w:t>
            </w:r>
            <w:bookmarkEnd w:id="0"/>
            <w:bookmarkStart w:id="1" w:name="_Hlt38187512"/>
            <w:r>
              <w:rPr>
                <w:rFonts w:hint="eastAsia" w:ascii="楷体" w:hAnsi="楷体" w:eastAsia="楷体" w:cs="楷体"/>
                <w:sz w:val="24"/>
                <w:szCs w:val="24"/>
              </w:rPr>
              <w:t>品</w:t>
            </w:r>
            <w:bookmarkEnd w:id="1"/>
            <w:r>
              <w:rPr>
                <w:rFonts w:hint="eastAsia" w:ascii="楷体" w:hAnsi="楷体" w:eastAsia="楷体" w:cs="楷体"/>
                <w:sz w:val="24"/>
                <w:szCs w:val="24"/>
              </w:rPr>
              <w:t>处理单，查202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年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9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月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8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日不合格品处理单，不合格事实描述：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2块风光板有碰伤，1 块封边有缺陷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，处理：</w:t>
            </w: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更换、重新封边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，再检验合格，质检员：叶水平。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产品交付后没有发现不合格的情况，发生时采取换货的方式处理。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不合格品控制有效。</w:t>
            </w:r>
          </w:p>
        </w:tc>
        <w:tc>
          <w:tcPr>
            <w:tcW w:w="993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384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危险源</w:t>
            </w:r>
          </w:p>
        </w:tc>
        <w:tc>
          <w:tcPr>
            <w:tcW w:w="1276" w:type="dxa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O6.1.2</w:t>
            </w:r>
          </w:p>
        </w:tc>
        <w:tc>
          <w:tcPr>
            <w:tcW w:w="11056" w:type="dxa"/>
            <w:vAlign w:val="center"/>
          </w:tcPr>
          <w:p>
            <w:pPr>
              <w:snapToGrid w:val="0"/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提供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了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JD-P-05-2020</w:t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ab/>
            </w:r>
            <w:r>
              <w:rPr>
                <w:rFonts w:hint="eastAsia" w:ascii="楷体" w:hAnsi="楷体" w:eastAsia="楷体" w:cs="楷体"/>
                <w:sz w:val="24"/>
                <w:szCs w:val="24"/>
              </w:rPr>
              <w:t>《危险源辨识与风险评价控制措施控制程序》</w:t>
            </w:r>
            <w:r>
              <w:rPr>
                <w:rFonts w:hint="eastAsia" w:ascii="楷体" w:hAnsi="楷体" w:eastAsia="楷体" w:cs="宋体"/>
                <w:sz w:val="24"/>
                <w:szCs w:val="24"/>
              </w:rPr>
              <w:t>，对危险源的识别、评价结果、控制手段等做出了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规定。</w:t>
            </w:r>
          </w:p>
          <w:p>
            <w:pPr>
              <w:snapToGrid w:val="0"/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 xml:space="preserve">    查到《危险源识别及风险评价表》，识别了办公过程办公电器漏电触电、检验活动过程中的碰伤等机械伤害等危险源。</w:t>
            </w:r>
          </w:p>
          <w:p>
            <w:pPr>
              <w:spacing w:line="360" w:lineRule="auto"/>
              <w:ind w:firstLine="468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查到《重大危险源清单》，涉及本部门的重大危险源：机械伤害、触电、职业病伤害。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危险源控制执行管理方案、配备消防器材、个体防护、日常检查及日常培训教育等运行控制措施。</w:t>
            </w:r>
          </w:p>
          <w:p>
            <w:pPr>
              <w:spacing w:line="360" w:lineRule="auto"/>
              <w:ind w:firstLine="360" w:firstLineChars="15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 xml:space="preserve"> 部门识别和评价基本充分，符合规定要求。</w:t>
            </w:r>
          </w:p>
        </w:tc>
        <w:tc>
          <w:tcPr>
            <w:tcW w:w="993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2" w:hRule="atLeast"/>
        </w:trPr>
        <w:tc>
          <w:tcPr>
            <w:tcW w:w="1384" w:type="dxa"/>
          </w:tcPr>
          <w:p>
            <w:pPr>
              <w:spacing w:line="360" w:lineRule="auto"/>
              <w:rPr>
                <w:rFonts w:hint="eastAsia" w:ascii="楷体" w:hAnsi="楷体" w:eastAsia="楷体"/>
                <w:bCs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运行控制</w:t>
            </w:r>
          </w:p>
          <w:p>
            <w:pPr>
              <w:spacing w:line="360" w:lineRule="auto"/>
              <w:rPr>
                <w:rFonts w:hint="eastAsia" w:ascii="楷体" w:hAnsi="楷体" w:eastAsia="楷体"/>
                <w:bCs/>
                <w:sz w:val="24"/>
                <w:szCs w:val="24"/>
              </w:rPr>
            </w:pPr>
          </w:p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bCs/>
                <w:sz w:val="24"/>
                <w:szCs w:val="24"/>
              </w:rPr>
              <w:t>应急准备</w:t>
            </w:r>
          </w:p>
        </w:tc>
        <w:tc>
          <w:tcPr>
            <w:tcW w:w="1276" w:type="dxa"/>
          </w:tcPr>
          <w:p>
            <w:pPr>
              <w:spacing w:line="360" w:lineRule="auto"/>
              <w:jc w:val="left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O8.1</w:t>
            </w:r>
          </w:p>
          <w:p>
            <w:pPr>
              <w:spacing w:line="360" w:lineRule="auto"/>
              <w:jc w:val="left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  <w:p>
            <w:pPr>
              <w:spacing w:line="360" w:lineRule="auto"/>
              <w:jc w:val="left"/>
              <w:rPr>
                <w:rFonts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8.2</w:t>
            </w:r>
          </w:p>
        </w:tc>
        <w:tc>
          <w:tcPr>
            <w:tcW w:w="11056" w:type="dxa"/>
            <w:vAlign w:val="center"/>
          </w:tcPr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公司制定实施了《运行控制程序》等与职业健康安全管理制度。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现场检验时严格遵守公司的规章制度，注意安全避免碰伤划伤。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质检部没有实验室，在车间检验，检验合格产品进行回用，不合格产品统一退货处理。</w:t>
            </w:r>
          </w:p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 xml:space="preserve">    现场巡视办公区域和检验区域的灭火器正常，电线、电气插座完整，未见隐患。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办公纸张采取双面打印，人走灯灭，定期检查水管跑冒滴漏。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质检员在202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.</w:t>
            </w:r>
            <w:r>
              <w:rPr>
                <w:rFonts w:hint="eastAsia" w:ascii="楷体" w:hAnsi="楷体" w:eastAsia="楷体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楷体" w:hAnsi="楷体" w:eastAsia="楷体"/>
                <w:sz w:val="24"/>
                <w:szCs w:val="24"/>
              </w:rPr>
              <w:t>7日参加了公司的消防应急演练，掌握了消防应急知识。</w:t>
            </w:r>
          </w:p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  <w:r>
              <w:rPr>
                <w:rFonts w:hint="eastAsia" w:ascii="楷体" w:hAnsi="楷体" w:eastAsia="楷体"/>
                <w:sz w:val="24"/>
                <w:szCs w:val="24"/>
              </w:rPr>
              <w:t>质检部门运行控制基本有效。</w:t>
            </w:r>
          </w:p>
        </w:tc>
        <w:tc>
          <w:tcPr>
            <w:tcW w:w="993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1384" w:type="dxa"/>
          </w:tcPr>
          <w:p>
            <w:pPr>
              <w:spacing w:line="360" w:lineRule="auto"/>
              <w:rPr>
                <w:rFonts w:ascii="楷体" w:hAnsi="楷体" w:eastAsia="楷体" w:cs="宋体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sz w:val="24"/>
                <w:szCs w:val="24"/>
              </w:rPr>
            </w:pPr>
          </w:p>
        </w:tc>
        <w:tc>
          <w:tcPr>
            <w:tcW w:w="11056" w:type="dxa"/>
            <w:vAlign w:val="center"/>
          </w:tcPr>
          <w:p>
            <w:pPr>
              <w:spacing w:line="360" w:lineRule="auto"/>
              <w:ind w:firstLine="480" w:firstLineChars="200"/>
              <w:rPr>
                <w:rFonts w:ascii="楷体" w:hAnsi="楷体" w:eastAsia="楷体"/>
                <w:sz w:val="24"/>
                <w:szCs w:val="24"/>
              </w:rPr>
            </w:pPr>
          </w:p>
        </w:tc>
        <w:tc>
          <w:tcPr>
            <w:tcW w:w="993" w:type="dxa"/>
          </w:tcPr>
          <w:p>
            <w:pPr>
              <w:spacing w:line="360" w:lineRule="auto"/>
              <w:rPr>
                <w:rFonts w:ascii="楷体" w:hAnsi="楷体" w:eastAsia="楷体"/>
                <w:sz w:val="24"/>
                <w:szCs w:val="24"/>
              </w:rPr>
            </w:pPr>
          </w:p>
        </w:tc>
      </w:tr>
    </w:tbl>
    <w:p>
      <w:pPr>
        <w:rPr>
          <w:rFonts w:ascii="楷体" w:hAnsi="楷体" w:eastAsia="楷体"/>
        </w:rPr>
      </w:pPr>
      <w:r>
        <w:rPr>
          <w:rFonts w:ascii="楷体" w:hAnsi="楷体" w:eastAsia="楷体"/>
        </w:rPr>
        <w:ptab w:relativeTo="margin" w:alignment="center" w:leader="none"/>
      </w:r>
    </w:p>
    <w:p>
      <w:pPr>
        <w:rPr>
          <w:rFonts w:ascii="楷体" w:hAnsi="楷体" w:eastAsia="楷体"/>
        </w:rPr>
      </w:pPr>
    </w:p>
    <w:p>
      <w:pPr>
        <w:pStyle w:val="4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2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2"/>
        <w:rFonts w:hint="default"/>
      </w:rPr>
      <w:t>北京国标联合认证有限公司</w:t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  <w:r>
      <w:rPr>
        <w:rStyle w:val="12"/>
        <w:rFonts w:hint="default"/>
      </w:rPr>
      <w:tab/>
    </w:r>
  </w:p>
  <w:p>
    <w:pPr>
      <w:pStyle w:val="5"/>
      <w:pBdr>
        <w:bottom w:val="none" w:color="auto" w:sz="0" w:space="1"/>
      </w:pBdr>
      <w:spacing w:line="320" w:lineRule="exact"/>
      <w:jc w:val="left"/>
    </w:pPr>
    <w:r>
      <w:pict>
        <v:shape id="文本框 1" o:spid="_x0000_s2050" o:spt="202" type="#_x0000_t202" style="position:absolute;left:0pt;margin-left:554.75pt;margin-top:2.2pt;height:20.2pt;width:172pt;z-index:251661312;mso-width-relative:page;mso-height-relative:page;" stroked="f" coordsize="21600,21600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ISC-B-II-31 管理体系审核记录表(03版)</w:t>
                </w:r>
              </w:p>
            </w:txbxContent>
          </v:textbox>
        </v:shape>
      </w:pict>
    </w:r>
    <w:r>
      <w:rPr>
        <w:rStyle w:val="12"/>
        <w:rFonts w:hint="default"/>
      </w:rPr>
      <w:t xml:space="preserve">        </w:t>
    </w:r>
    <w:r>
      <w:rPr>
        <w:rStyle w:val="12"/>
        <w:rFonts w:hint="default"/>
        <w:w w:val="90"/>
      </w:rPr>
      <w:t>Beijing International Standard united Certification Co.,Ltd.</w:t>
    </w:r>
    <w:r>
      <w:rPr>
        <w:rStyle w:val="12"/>
        <w:rFonts w:hint="default"/>
        <w:w w:val="90"/>
        <w:szCs w:val="21"/>
      </w:rPr>
      <w:t xml:space="preserve">  </w:t>
    </w:r>
    <w:r>
      <w:rPr>
        <w:rStyle w:val="12"/>
        <w:rFonts w:hint="default"/>
        <w:w w:val="90"/>
        <w:sz w:val="20"/>
      </w:rPr>
      <w:t xml:space="preserve"> </w:t>
    </w:r>
    <w:r>
      <w:rPr>
        <w:rStyle w:val="12"/>
        <w:rFonts w:hint="default"/>
        <w:w w:val="90"/>
      </w:rPr>
      <w:t xml:space="preserve">                   </w:t>
    </w: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EA79DE"/>
    <w:multiLevelType w:val="multilevel"/>
    <w:tmpl w:val="7CEA79D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4817"/>
    <w:rsid w:val="00005AA6"/>
    <w:rsid w:val="00007C97"/>
    <w:rsid w:val="0001151F"/>
    <w:rsid w:val="00014D00"/>
    <w:rsid w:val="00020F69"/>
    <w:rsid w:val="000214B6"/>
    <w:rsid w:val="000225FF"/>
    <w:rsid w:val="000252BF"/>
    <w:rsid w:val="0002531E"/>
    <w:rsid w:val="000322DD"/>
    <w:rsid w:val="0003373A"/>
    <w:rsid w:val="000369F1"/>
    <w:rsid w:val="00037697"/>
    <w:rsid w:val="000412F6"/>
    <w:rsid w:val="00045270"/>
    <w:rsid w:val="00046121"/>
    <w:rsid w:val="0004642B"/>
    <w:rsid w:val="00047E49"/>
    <w:rsid w:val="00050512"/>
    <w:rsid w:val="00050582"/>
    <w:rsid w:val="0005199E"/>
    <w:rsid w:val="00053143"/>
    <w:rsid w:val="00053C49"/>
    <w:rsid w:val="000552E0"/>
    <w:rsid w:val="0005697E"/>
    <w:rsid w:val="000579CF"/>
    <w:rsid w:val="00061974"/>
    <w:rsid w:val="00062975"/>
    <w:rsid w:val="00063275"/>
    <w:rsid w:val="00065C74"/>
    <w:rsid w:val="00071E2B"/>
    <w:rsid w:val="00072B81"/>
    <w:rsid w:val="00076CD3"/>
    <w:rsid w:val="00080C1D"/>
    <w:rsid w:val="00082216"/>
    <w:rsid w:val="00082398"/>
    <w:rsid w:val="0008356A"/>
    <w:rsid w:val="000849D2"/>
    <w:rsid w:val="00085114"/>
    <w:rsid w:val="0008635A"/>
    <w:rsid w:val="00086C3D"/>
    <w:rsid w:val="0008749B"/>
    <w:rsid w:val="00090B18"/>
    <w:rsid w:val="00091A2D"/>
    <w:rsid w:val="00097CAB"/>
    <w:rsid w:val="000A5E44"/>
    <w:rsid w:val="000A7044"/>
    <w:rsid w:val="000B0541"/>
    <w:rsid w:val="000B1394"/>
    <w:rsid w:val="000B2E9C"/>
    <w:rsid w:val="000B40BD"/>
    <w:rsid w:val="000B41D6"/>
    <w:rsid w:val="000C123B"/>
    <w:rsid w:val="000C151C"/>
    <w:rsid w:val="000C4E63"/>
    <w:rsid w:val="000C6AFC"/>
    <w:rsid w:val="000D005A"/>
    <w:rsid w:val="000D2F9D"/>
    <w:rsid w:val="000D51FB"/>
    <w:rsid w:val="000D5401"/>
    <w:rsid w:val="000D5976"/>
    <w:rsid w:val="000D5BE4"/>
    <w:rsid w:val="000D5F74"/>
    <w:rsid w:val="000D697A"/>
    <w:rsid w:val="000E2B69"/>
    <w:rsid w:val="000E2FCD"/>
    <w:rsid w:val="000E4B40"/>
    <w:rsid w:val="000E7848"/>
    <w:rsid w:val="000E7EF7"/>
    <w:rsid w:val="000F0CB7"/>
    <w:rsid w:val="000F2483"/>
    <w:rsid w:val="000F35F1"/>
    <w:rsid w:val="000F7D53"/>
    <w:rsid w:val="0010182C"/>
    <w:rsid w:val="00101F08"/>
    <w:rsid w:val="001022F1"/>
    <w:rsid w:val="001037D5"/>
    <w:rsid w:val="0010381F"/>
    <w:rsid w:val="00105BF7"/>
    <w:rsid w:val="00106BDD"/>
    <w:rsid w:val="00107778"/>
    <w:rsid w:val="00107942"/>
    <w:rsid w:val="001103A2"/>
    <w:rsid w:val="00112259"/>
    <w:rsid w:val="00112473"/>
    <w:rsid w:val="00112EBF"/>
    <w:rsid w:val="00112EF4"/>
    <w:rsid w:val="0012440D"/>
    <w:rsid w:val="00126769"/>
    <w:rsid w:val="00136114"/>
    <w:rsid w:val="0014220A"/>
    <w:rsid w:val="0014235B"/>
    <w:rsid w:val="00145688"/>
    <w:rsid w:val="001478E0"/>
    <w:rsid w:val="00150852"/>
    <w:rsid w:val="00152F47"/>
    <w:rsid w:val="001555E4"/>
    <w:rsid w:val="00155BB0"/>
    <w:rsid w:val="00160A2C"/>
    <w:rsid w:val="00161106"/>
    <w:rsid w:val="00165CC8"/>
    <w:rsid w:val="001665E7"/>
    <w:rsid w:val="001677C1"/>
    <w:rsid w:val="00170E3E"/>
    <w:rsid w:val="001714F7"/>
    <w:rsid w:val="001719E3"/>
    <w:rsid w:val="001737D0"/>
    <w:rsid w:val="00173DEB"/>
    <w:rsid w:val="0017468A"/>
    <w:rsid w:val="00176F70"/>
    <w:rsid w:val="00183139"/>
    <w:rsid w:val="00186432"/>
    <w:rsid w:val="001876B6"/>
    <w:rsid w:val="001904A8"/>
    <w:rsid w:val="001918ED"/>
    <w:rsid w:val="00192A7F"/>
    <w:rsid w:val="00192C27"/>
    <w:rsid w:val="001930E6"/>
    <w:rsid w:val="001951C7"/>
    <w:rsid w:val="00196315"/>
    <w:rsid w:val="001971AE"/>
    <w:rsid w:val="001A082C"/>
    <w:rsid w:val="001A191B"/>
    <w:rsid w:val="001A2536"/>
    <w:rsid w:val="001A2D7F"/>
    <w:rsid w:val="001A3DF8"/>
    <w:rsid w:val="001A572D"/>
    <w:rsid w:val="001A6F25"/>
    <w:rsid w:val="001B3A18"/>
    <w:rsid w:val="001C0577"/>
    <w:rsid w:val="001C724A"/>
    <w:rsid w:val="001C74CE"/>
    <w:rsid w:val="001D12D6"/>
    <w:rsid w:val="001D318E"/>
    <w:rsid w:val="001D39C6"/>
    <w:rsid w:val="001D4AD8"/>
    <w:rsid w:val="001D54FF"/>
    <w:rsid w:val="001D652E"/>
    <w:rsid w:val="001D73AD"/>
    <w:rsid w:val="001E182B"/>
    <w:rsid w:val="001E1974"/>
    <w:rsid w:val="001E1C36"/>
    <w:rsid w:val="001E21FA"/>
    <w:rsid w:val="001E5525"/>
    <w:rsid w:val="001E64EB"/>
    <w:rsid w:val="001E7200"/>
    <w:rsid w:val="001E74E2"/>
    <w:rsid w:val="001F0DAF"/>
    <w:rsid w:val="001F1714"/>
    <w:rsid w:val="001F556C"/>
    <w:rsid w:val="00201285"/>
    <w:rsid w:val="002020CB"/>
    <w:rsid w:val="00202985"/>
    <w:rsid w:val="00202BC2"/>
    <w:rsid w:val="00210A5D"/>
    <w:rsid w:val="002122D7"/>
    <w:rsid w:val="00214113"/>
    <w:rsid w:val="00215081"/>
    <w:rsid w:val="00215B15"/>
    <w:rsid w:val="00222532"/>
    <w:rsid w:val="00222839"/>
    <w:rsid w:val="002250F7"/>
    <w:rsid w:val="0023038C"/>
    <w:rsid w:val="00230796"/>
    <w:rsid w:val="00236CD5"/>
    <w:rsid w:val="00237445"/>
    <w:rsid w:val="00237625"/>
    <w:rsid w:val="00244DE1"/>
    <w:rsid w:val="0024743C"/>
    <w:rsid w:val="00247AD6"/>
    <w:rsid w:val="00250E2E"/>
    <w:rsid w:val="002513BC"/>
    <w:rsid w:val="002518FD"/>
    <w:rsid w:val="00251FDE"/>
    <w:rsid w:val="00252A48"/>
    <w:rsid w:val="0025310B"/>
    <w:rsid w:val="002538FB"/>
    <w:rsid w:val="0025560F"/>
    <w:rsid w:val="0026025B"/>
    <w:rsid w:val="00264A93"/>
    <w:rsid w:val="00265011"/>
    <w:rsid w:val="002651A6"/>
    <w:rsid w:val="00265E5F"/>
    <w:rsid w:val="002669E5"/>
    <w:rsid w:val="00267C9B"/>
    <w:rsid w:val="00267E42"/>
    <w:rsid w:val="0027384F"/>
    <w:rsid w:val="00281EB5"/>
    <w:rsid w:val="00282C4E"/>
    <w:rsid w:val="0028333D"/>
    <w:rsid w:val="00283EE4"/>
    <w:rsid w:val="00290C8D"/>
    <w:rsid w:val="00290FC2"/>
    <w:rsid w:val="002914E4"/>
    <w:rsid w:val="00293973"/>
    <w:rsid w:val="002973F0"/>
    <w:rsid w:val="002975C1"/>
    <w:rsid w:val="00297DFB"/>
    <w:rsid w:val="002A0E6E"/>
    <w:rsid w:val="002A2529"/>
    <w:rsid w:val="002A33CC"/>
    <w:rsid w:val="002B01C2"/>
    <w:rsid w:val="002B14DB"/>
    <w:rsid w:val="002B1808"/>
    <w:rsid w:val="002B4FF5"/>
    <w:rsid w:val="002B51F6"/>
    <w:rsid w:val="002B59CF"/>
    <w:rsid w:val="002B7D11"/>
    <w:rsid w:val="002C1ACE"/>
    <w:rsid w:val="002C1AF9"/>
    <w:rsid w:val="002C3E0D"/>
    <w:rsid w:val="002C6568"/>
    <w:rsid w:val="002D1ACF"/>
    <w:rsid w:val="002D2416"/>
    <w:rsid w:val="002D38DF"/>
    <w:rsid w:val="002D3AFB"/>
    <w:rsid w:val="002D41FB"/>
    <w:rsid w:val="002D70C3"/>
    <w:rsid w:val="002E0587"/>
    <w:rsid w:val="002E1E1D"/>
    <w:rsid w:val="002E5A2D"/>
    <w:rsid w:val="002F05FA"/>
    <w:rsid w:val="002F1614"/>
    <w:rsid w:val="002F27C3"/>
    <w:rsid w:val="002F2E87"/>
    <w:rsid w:val="002F307B"/>
    <w:rsid w:val="002F5C01"/>
    <w:rsid w:val="00300457"/>
    <w:rsid w:val="00304F0B"/>
    <w:rsid w:val="003075BF"/>
    <w:rsid w:val="0031213E"/>
    <w:rsid w:val="00317401"/>
    <w:rsid w:val="0031751E"/>
    <w:rsid w:val="0032273E"/>
    <w:rsid w:val="0032358B"/>
    <w:rsid w:val="00325552"/>
    <w:rsid w:val="0032616E"/>
    <w:rsid w:val="00326FC1"/>
    <w:rsid w:val="00330405"/>
    <w:rsid w:val="0033189B"/>
    <w:rsid w:val="00331A96"/>
    <w:rsid w:val="00331EC6"/>
    <w:rsid w:val="00337922"/>
    <w:rsid w:val="00340867"/>
    <w:rsid w:val="00340CC4"/>
    <w:rsid w:val="00342857"/>
    <w:rsid w:val="00342E9F"/>
    <w:rsid w:val="0034373E"/>
    <w:rsid w:val="003439A4"/>
    <w:rsid w:val="00345161"/>
    <w:rsid w:val="0035051A"/>
    <w:rsid w:val="00350DA9"/>
    <w:rsid w:val="00351CEE"/>
    <w:rsid w:val="00354FA3"/>
    <w:rsid w:val="00356868"/>
    <w:rsid w:val="0035727B"/>
    <w:rsid w:val="003602A4"/>
    <w:rsid w:val="003605A4"/>
    <w:rsid w:val="003608CB"/>
    <w:rsid w:val="00362501"/>
    <w:rsid w:val="003627B6"/>
    <w:rsid w:val="00363DA8"/>
    <w:rsid w:val="00363F01"/>
    <w:rsid w:val="0036714F"/>
    <w:rsid w:val="00367240"/>
    <w:rsid w:val="003708D5"/>
    <w:rsid w:val="003720E8"/>
    <w:rsid w:val="003744AD"/>
    <w:rsid w:val="00374D02"/>
    <w:rsid w:val="00374EE8"/>
    <w:rsid w:val="0038061A"/>
    <w:rsid w:val="0038063B"/>
    <w:rsid w:val="00380653"/>
    <w:rsid w:val="00380837"/>
    <w:rsid w:val="00382518"/>
    <w:rsid w:val="00382EDD"/>
    <w:rsid w:val="003836CA"/>
    <w:rsid w:val="00384306"/>
    <w:rsid w:val="0038479B"/>
    <w:rsid w:val="00385291"/>
    <w:rsid w:val="00386A98"/>
    <w:rsid w:val="0038786B"/>
    <w:rsid w:val="00390252"/>
    <w:rsid w:val="0039034F"/>
    <w:rsid w:val="0039060D"/>
    <w:rsid w:val="003908B4"/>
    <w:rsid w:val="00394590"/>
    <w:rsid w:val="00396212"/>
    <w:rsid w:val="003964C6"/>
    <w:rsid w:val="00396FB8"/>
    <w:rsid w:val="003A1E9C"/>
    <w:rsid w:val="003A484E"/>
    <w:rsid w:val="003A5DBA"/>
    <w:rsid w:val="003A7A5C"/>
    <w:rsid w:val="003B2D8A"/>
    <w:rsid w:val="003B4B50"/>
    <w:rsid w:val="003B4CA7"/>
    <w:rsid w:val="003C0FC5"/>
    <w:rsid w:val="003C56FD"/>
    <w:rsid w:val="003C7798"/>
    <w:rsid w:val="003D1252"/>
    <w:rsid w:val="003D42CB"/>
    <w:rsid w:val="003D51E8"/>
    <w:rsid w:val="003D6BE3"/>
    <w:rsid w:val="003D736E"/>
    <w:rsid w:val="003E03C4"/>
    <w:rsid w:val="003E08FD"/>
    <w:rsid w:val="003E0E52"/>
    <w:rsid w:val="003E60B4"/>
    <w:rsid w:val="003F20A5"/>
    <w:rsid w:val="003F233D"/>
    <w:rsid w:val="003F5B09"/>
    <w:rsid w:val="003F6364"/>
    <w:rsid w:val="003F7D59"/>
    <w:rsid w:val="003F7D64"/>
    <w:rsid w:val="00400B96"/>
    <w:rsid w:val="00401BD6"/>
    <w:rsid w:val="00401EB3"/>
    <w:rsid w:val="0040498E"/>
    <w:rsid w:val="00404E55"/>
    <w:rsid w:val="00405000"/>
    <w:rsid w:val="00405D5F"/>
    <w:rsid w:val="004108D1"/>
    <w:rsid w:val="00410914"/>
    <w:rsid w:val="00410B9E"/>
    <w:rsid w:val="004118DA"/>
    <w:rsid w:val="00411B69"/>
    <w:rsid w:val="004138F6"/>
    <w:rsid w:val="0041521B"/>
    <w:rsid w:val="004156DF"/>
    <w:rsid w:val="00415AA3"/>
    <w:rsid w:val="004165DA"/>
    <w:rsid w:val="00417D9C"/>
    <w:rsid w:val="00420C60"/>
    <w:rsid w:val="00420C95"/>
    <w:rsid w:val="00421640"/>
    <w:rsid w:val="00422965"/>
    <w:rsid w:val="00423983"/>
    <w:rsid w:val="00424D15"/>
    <w:rsid w:val="00425102"/>
    <w:rsid w:val="0042604D"/>
    <w:rsid w:val="00430432"/>
    <w:rsid w:val="0043078C"/>
    <w:rsid w:val="004316FF"/>
    <w:rsid w:val="00433759"/>
    <w:rsid w:val="0043494E"/>
    <w:rsid w:val="004351AF"/>
    <w:rsid w:val="00435FC8"/>
    <w:rsid w:val="00440B76"/>
    <w:rsid w:val="004414A5"/>
    <w:rsid w:val="00441C33"/>
    <w:rsid w:val="00442208"/>
    <w:rsid w:val="00445C84"/>
    <w:rsid w:val="00450A4F"/>
    <w:rsid w:val="00456697"/>
    <w:rsid w:val="004570AB"/>
    <w:rsid w:val="00460E78"/>
    <w:rsid w:val="00461F7A"/>
    <w:rsid w:val="00465FE1"/>
    <w:rsid w:val="00466832"/>
    <w:rsid w:val="00470B5E"/>
    <w:rsid w:val="00473C77"/>
    <w:rsid w:val="00473E93"/>
    <w:rsid w:val="00475491"/>
    <w:rsid w:val="004869FB"/>
    <w:rsid w:val="00491735"/>
    <w:rsid w:val="00494A46"/>
    <w:rsid w:val="004954AB"/>
    <w:rsid w:val="00496016"/>
    <w:rsid w:val="004A25AE"/>
    <w:rsid w:val="004A2C2E"/>
    <w:rsid w:val="004A5A81"/>
    <w:rsid w:val="004A5E1E"/>
    <w:rsid w:val="004A5FE0"/>
    <w:rsid w:val="004A73C5"/>
    <w:rsid w:val="004A79D1"/>
    <w:rsid w:val="004B0B1A"/>
    <w:rsid w:val="004B1EC1"/>
    <w:rsid w:val="004B217F"/>
    <w:rsid w:val="004B29CD"/>
    <w:rsid w:val="004B33F8"/>
    <w:rsid w:val="004B3600"/>
    <w:rsid w:val="004B3E7F"/>
    <w:rsid w:val="004B437C"/>
    <w:rsid w:val="004B735D"/>
    <w:rsid w:val="004B768D"/>
    <w:rsid w:val="004C07FE"/>
    <w:rsid w:val="004C232B"/>
    <w:rsid w:val="004D1FBC"/>
    <w:rsid w:val="004D228E"/>
    <w:rsid w:val="004D3E4C"/>
    <w:rsid w:val="004D4610"/>
    <w:rsid w:val="004D4FFE"/>
    <w:rsid w:val="004D5DEB"/>
    <w:rsid w:val="004D71B9"/>
    <w:rsid w:val="004E2863"/>
    <w:rsid w:val="004E3ADA"/>
    <w:rsid w:val="004F012A"/>
    <w:rsid w:val="004F185D"/>
    <w:rsid w:val="004F575F"/>
    <w:rsid w:val="00500B43"/>
    <w:rsid w:val="00502B7F"/>
    <w:rsid w:val="005032D8"/>
    <w:rsid w:val="005037D9"/>
    <w:rsid w:val="00504418"/>
    <w:rsid w:val="00504457"/>
    <w:rsid w:val="005056ED"/>
    <w:rsid w:val="00505D61"/>
    <w:rsid w:val="00506D58"/>
    <w:rsid w:val="0051026D"/>
    <w:rsid w:val="00513A36"/>
    <w:rsid w:val="005155C4"/>
    <w:rsid w:val="005159E6"/>
    <w:rsid w:val="005162A7"/>
    <w:rsid w:val="00517E4C"/>
    <w:rsid w:val="00521CF0"/>
    <w:rsid w:val="005229E1"/>
    <w:rsid w:val="00524794"/>
    <w:rsid w:val="00525B29"/>
    <w:rsid w:val="005272FD"/>
    <w:rsid w:val="00530011"/>
    <w:rsid w:val="00530B0E"/>
    <w:rsid w:val="00530BBE"/>
    <w:rsid w:val="0053208B"/>
    <w:rsid w:val="00532123"/>
    <w:rsid w:val="00532214"/>
    <w:rsid w:val="00532963"/>
    <w:rsid w:val="00534814"/>
    <w:rsid w:val="00536930"/>
    <w:rsid w:val="00537771"/>
    <w:rsid w:val="005403BA"/>
    <w:rsid w:val="0054118D"/>
    <w:rsid w:val="0054212E"/>
    <w:rsid w:val="0054270E"/>
    <w:rsid w:val="005428F3"/>
    <w:rsid w:val="00542A03"/>
    <w:rsid w:val="00544E25"/>
    <w:rsid w:val="00547980"/>
    <w:rsid w:val="00547E16"/>
    <w:rsid w:val="00552F32"/>
    <w:rsid w:val="00553C08"/>
    <w:rsid w:val="005563A0"/>
    <w:rsid w:val="00560A2A"/>
    <w:rsid w:val="00564E53"/>
    <w:rsid w:val="0056595E"/>
    <w:rsid w:val="005666FC"/>
    <w:rsid w:val="00571DE8"/>
    <w:rsid w:val="0057559A"/>
    <w:rsid w:val="0057776F"/>
    <w:rsid w:val="00580224"/>
    <w:rsid w:val="00581364"/>
    <w:rsid w:val="00581B74"/>
    <w:rsid w:val="00581ECA"/>
    <w:rsid w:val="00583277"/>
    <w:rsid w:val="00583744"/>
    <w:rsid w:val="00584B23"/>
    <w:rsid w:val="00584E4C"/>
    <w:rsid w:val="00592C3E"/>
    <w:rsid w:val="00595FA8"/>
    <w:rsid w:val="00597CB8"/>
    <w:rsid w:val="005A000F"/>
    <w:rsid w:val="005A1ED6"/>
    <w:rsid w:val="005A46E1"/>
    <w:rsid w:val="005A4E86"/>
    <w:rsid w:val="005A6543"/>
    <w:rsid w:val="005A659C"/>
    <w:rsid w:val="005B1490"/>
    <w:rsid w:val="005B173D"/>
    <w:rsid w:val="005B6888"/>
    <w:rsid w:val="005B78B3"/>
    <w:rsid w:val="005D2669"/>
    <w:rsid w:val="005D3185"/>
    <w:rsid w:val="005D5667"/>
    <w:rsid w:val="005D788C"/>
    <w:rsid w:val="005E4698"/>
    <w:rsid w:val="005E59EE"/>
    <w:rsid w:val="005E6BC0"/>
    <w:rsid w:val="005F209B"/>
    <w:rsid w:val="005F2936"/>
    <w:rsid w:val="005F3F52"/>
    <w:rsid w:val="005F4B95"/>
    <w:rsid w:val="005F4F35"/>
    <w:rsid w:val="005F5DC6"/>
    <w:rsid w:val="005F6C65"/>
    <w:rsid w:val="00600F02"/>
    <w:rsid w:val="00600FD9"/>
    <w:rsid w:val="0060444D"/>
    <w:rsid w:val="00607C9B"/>
    <w:rsid w:val="00611EBE"/>
    <w:rsid w:val="006122FC"/>
    <w:rsid w:val="00613D58"/>
    <w:rsid w:val="00623F91"/>
    <w:rsid w:val="00624138"/>
    <w:rsid w:val="0062550A"/>
    <w:rsid w:val="006255FD"/>
    <w:rsid w:val="006261C5"/>
    <w:rsid w:val="00626266"/>
    <w:rsid w:val="0063309E"/>
    <w:rsid w:val="006334B3"/>
    <w:rsid w:val="006354BB"/>
    <w:rsid w:val="0063558C"/>
    <w:rsid w:val="0063646D"/>
    <w:rsid w:val="00640BAD"/>
    <w:rsid w:val="00642776"/>
    <w:rsid w:val="00644FE2"/>
    <w:rsid w:val="00645FB8"/>
    <w:rsid w:val="0065134F"/>
    <w:rsid w:val="00651986"/>
    <w:rsid w:val="00651C82"/>
    <w:rsid w:val="006545E8"/>
    <w:rsid w:val="00660ABD"/>
    <w:rsid w:val="00662233"/>
    <w:rsid w:val="00663F92"/>
    <w:rsid w:val="00664736"/>
    <w:rsid w:val="006647C9"/>
    <w:rsid w:val="00665701"/>
    <w:rsid w:val="00665980"/>
    <w:rsid w:val="00672BD0"/>
    <w:rsid w:val="00675BBB"/>
    <w:rsid w:val="0067640C"/>
    <w:rsid w:val="006777A2"/>
    <w:rsid w:val="006827F3"/>
    <w:rsid w:val="006836D9"/>
    <w:rsid w:val="00685F68"/>
    <w:rsid w:val="00686699"/>
    <w:rsid w:val="00686D0C"/>
    <w:rsid w:val="00690286"/>
    <w:rsid w:val="0069072E"/>
    <w:rsid w:val="0069278B"/>
    <w:rsid w:val="006935CD"/>
    <w:rsid w:val="00694EBC"/>
    <w:rsid w:val="00695256"/>
    <w:rsid w:val="00695570"/>
    <w:rsid w:val="00696AF1"/>
    <w:rsid w:val="006A0BDC"/>
    <w:rsid w:val="006A11EB"/>
    <w:rsid w:val="006A1801"/>
    <w:rsid w:val="006A311B"/>
    <w:rsid w:val="006A3B31"/>
    <w:rsid w:val="006A5952"/>
    <w:rsid w:val="006A66C1"/>
    <w:rsid w:val="006A68F3"/>
    <w:rsid w:val="006B0297"/>
    <w:rsid w:val="006B06F4"/>
    <w:rsid w:val="006B2C6D"/>
    <w:rsid w:val="006B4127"/>
    <w:rsid w:val="006B5E6F"/>
    <w:rsid w:val="006B7AA7"/>
    <w:rsid w:val="006C1174"/>
    <w:rsid w:val="006C24BF"/>
    <w:rsid w:val="006C298F"/>
    <w:rsid w:val="006C2A6A"/>
    <w:rsid w:val="006C40B5"/>
    <w:rsid w:val="006C40B9"/>
    <w:rsid w:val="006C6653"/>
    <w:rsid w:val="006C7A93"/>
    <w:rsid w:val="006D1477"/>
    <w:rsid w:val="006D1EC9"/>
    <w:rsid w:val="006D38C2"/>
    <w:rsid w:val="006D5A83"/>
    <w:rsid w:val="006E0DB3"/>
    <w:rsid w:val="006E3B1A"/>
    <w:rsid w:val="006E678B"/>
    <w:rsid w:val="006E6C3E"/>
    <w:rsid w:val="006F1C10"/>
    <w:rsid w:val="006F50AA"/>
    <w:rsid w:val="006F5843"/>
    <w:rsid w:val="006F599A"/>
    <w:rsid w:val="006F5F4B"/>
    <w:rsid w:val="006F637B"/>
    <w:rsid w:val="006F7580"/>
    <w:rsid w:val="00702175"/>
    <w:rsid w:val="00703009"/>
    <w:rsid w:val="0070367F"/>
    <w:rsid w:val="00705E5B"/>
    <w:rsid w:val="0070605A"/>
    <w:rsid w:val="007076CC"/>
    <w:rsid w:val="007115C1"/>
    <w:rsid w:val="0071293B"/>
    <w:rsid w:val="00712F3C"/>
    <w:rsid w:val="00713183"/>
    <w:rsid w:val="00715C27"/>
    <w:rsid w:val="00715F5F"/>
    <w:rsid w:val="007170AA"/>
    <w:rsid w:val="007204C4"/>
    <w:rsid w:val="00720D05"/>
    <w:rsid w:val="00722A29"/>
    <w:rsid w:val="00722EC9"/>
    <w:rsid w:val="00723241"/>
    <w:rsid w:val="00725011"/>
    <w:rsid w:val="00726918"/>
    <w:rsid w:val="00730262"/>
    <w:rsid w:val="00732B66"/>
    <w:rsid w:val="00734D96"/>
    <w:rsid w:val="00737C8F"/>
    <w:rsid w:val="007406DE"/>
    <w:rsid w:val="00740DCC"/>
    <w:rsid w:val="00743E79"/>
    <w:rsid w:val="00744BEA"/>
    <w:rsid w:val="00746B34"/>
    <w:rsid w:val="00751532"/>
    <w:rsid w:val="00751C37"/>
    <w:rsid w:val="00752B53"/>
    <w:rsid w:val="0075411F"/>
    <w:rsid w:val="007555AA"/>
    <w:rsid w:val="0075769B"/>
    <w:rsid w:val="0077198E"/>
    <w:rsid w:val="00773E78"/>
    <w:rsid w:val="007757F3"/>
    <w:rsid w:val="00777C2A"/>
    <w:rsid w:val="0078033F"/>
    <w:rsid w:val="007815DC"/>
    <w:rsid w:val="00782975"/>
    <w:rsid w:val="00784D25"/>
    <w:rsid w:val="00786F84"/>
    <w:rsid w:val="00787A58"/>
    <w:rsid w:val="007920D2"/>
    <w:rsid w:val="007923EE"/>
    <w:rsid w:val="00793469"/>
    <w:rsid w:val="0079371F"/>
    <w:rsid w:val="00793792"/>
    <w:rsid w:val="00794527"/>
    <w:rsid w:val="00796E4A"/>
    <w:rsid w:val="007A47FB"/>
    <w:rsid w:val="007A7056"/>
    <w:rsid w:val="007B106B"/>
    <w:rsid w:val="007B1882"/>
    <w:rsid w:val="007B275D"/>
    <w:rsid w:val="007B677C"/>
    <w:rsid w:val="007C3DC7"/>
    <w:rsid w:val="007C6207"/>
    <w:rsid w:val="007C7404"/>
    <w:rsid w:val="007C75EB"/>
    <w:rsid w:val="007D078F"/>
    <w:rsid w:val="007D2D21"/>
    <w:rsid w:val="007D4928"/>
    <w:rsid w:val="007E297D"/>
    <w:rsid w:val="007E4686"/>
    <w:rsid w:val="007E4877"/>
    <w:rsid w:val="007E4EB7"/>
    <w:rsid w:val="007E6AEB"/>
    <w:rsid w:val="007E6E7A"/>
    <w:rsid w:val="007F01EC"/>
    <w:rsid w:val="007F53E6"/>
    <w:rsid w:val="007F55ED"/>
    <w:rsid w:val="007F6A83"/>
    <w:rsid w:val="007F7DF2"/>
    <w:rsid w:val="00805A7B"/>
    <w:rsid w:val="008068E1"/>
    <w:rsid w:val="00806CD1"/>
    <w:rsid w:val="008079FA"/>
    <w:rsid w:val="00810D58"/>
    <w:rsid w:val="00812A18"/>
    <w:rsid w:val="00812EF4"/>
    <w:rsid w:val="00813316"/>
    <w:rsid w:val="008154F4"/>
    <w:rsid w:val="0082285E"/>
    <w:rsid w:val="00823D48"/>
    <w:rsid w:val="00824F6A"/>
    <w:rsid w:val="0082611C"/>
    <w:rsid w:val="008336D7"/>
    <w:rsid w:val="008341E7"/>
    <w:rsid w:val="0083511D"/>
    <w:rsid w:val="00835B31"/>
    <w:rsid w:val="008366E4"/>
    <w:rsid w:val="008374DB"/>
    <w:rsid w:val="00841655"/>
    <w:rsid w:val="00844B5D"/>
    <w:rsid w:val="008463C0"/>
    <w:rsid w:val="00847376"/>
    <w:rsid w:val="0084762C"/>
    <w:rsid w:val="0084793C"/>
    <w:rsid w:val="008503CB"/>
    <w:rsid w:val="00850413"/>
    <w:rsid w:val="0085226F"/>
    <w:rsid w:val="00855B43"/>
    <w:rsid w:val="00855DF0"/>
    <w:rsid w:val="00857B4A"/>
    <w:rsid w:val="008605B6"/>
    <w:rsid w:val="00860C6F"/>
    <w:rsid w:val="00863074"/>
    <w:rsid w:val="008646DE"/>
    <w:rsid w:val="00864902"/>
    <w:rsid w:val="00864BE7"/>
    <w:rsid w:val="00865200"/>
    <w:rsid w:val="00867F1D"/>
    <w:rsid w:val="00871695"/>
    <w:rsid w:val="00871A89"/>
    <w:rsid w:val="008744F7"/>
    <w:rsid w:val="008776D8"/>
    <w:rsid w:val="00883026"/>
    <w:rsid w:val="00884879"/>
    <w:rsid w:val="00885D20"/>
    <w:rsid w:val="00891C25"/>
    <w:rsid w:val="008945E1"/>
    <w:rsid w:val="008954D4"/>
    <w:rsid w:val="008957E5"/>
    <w:rsid w:val="00896A10"/>
    <w:rsid w:val="008970AD"/>
    <w:rsid w:val="008973EE"/>
    <w:rsid w:val="0089745C"/>
    <w:rsid w:val="00897630"/>
    <w:rsid w:val="00897717"/>
    <w:rsid w:val="008A6340"/>
    <w:rsid w:val="008A7314"/>
    <w:rsid w:val="008B1414"/>
    <w:rsid w:val="008B2609"/>
    <w:rsid w:val="008B7870"/>
    <w:rsid w:val="008C023E"/>
    <w:rsid w:val="008C1939"/>
    <w:rsid w:val="008C1E84"/>
    <w:rsid w:val="008C42C7"/>
    <w:rsid w:val="008C51BA"/>
    <w:rsid w:val="008D089D"/>
    <w:rsid w:val="008D315D"/>
    <w:rsid w:val="008D41C3"/>
    <w:rsid w:val="008E0630"/>
    <w:rsid w:val="008E0863"/>
    <w:rsid w:val="008E31F5"/>
    <w:rsid w:val="008E4207"/>
    <w:rsid w:val="008E4B69"/>
    <w:rsid w:val="008E64A5"/>
    <w:rsid w:val="008F04C2"/>
    <w:rsid w:val="008F0B04"/>
    <w:rsid w:val="008F38E9"/>
    <w:rsid w:val="008F3FE0"/>
    <w:rsid w:val="008F41A1"/>
    <w:rsid w:val="008F48F1"/>
    <w:rsid w:val="008F5883"/>
    <w:rsid w:val="008F6E81"/>
    <w:rsid w:val="008F7C55"/>
    <w:rsid w:val="00900C72"/>
    <w:rsid w:val="0090619E"/>
    <w:rsid w:val="00906311"/>
    <w:rsid w:val="00907520"/>
    <w:rsid w:val="00907732"/>
    <w:rsid w:val="009128D8"/>
    <w:rsid w:val="0092033F"/>
    <w:rsid w:val="00922540"/>
    <w:rsid w:val="00925CE3"/>
    <w:rsid w:val="00930694"/>
    <w:rsid w:val="009336EC"/>
    <w:rsid w:val="0093521F"/>
    <w:rsid w:val="00936368"/>
    <w:rsid w:val="00936493"/>
    <w:rsid w:val="00937280"/>
    <w:rsid w:val="00940D41"/>
    <w:rsid w:val="00940F06"/>
    <w:rsid w:val="00943225"/>
    <w:rsid w:val="00945677"/>
    <w:rsid w:val="00950567"/>
    <w:rsid w:val="00951FB6"/>
    <w:rsid w:val="00953221"/>
    <w:rsid w:val="00953A34"/>
    <w:rsid w:val="00955B84"/>
    <w:rsid w:val="00957B89"/>
    <w:rsid w:val="009610F8"/>
    <w:rsid w:val="00962113"/>
    <w:rsid w:val="00962F78"/>
    <w:rsid w:val="009639DD"/>
    <w:rsid w:val="00964891"/>
    <w:rsid w:val="0096609F"/>
    <w:rsid w:val="00966D8E"/>
    <w:rsid w:val="00967B50"/>
    <w:rsid w:val="00971600"/>
    <w:rsid w:val="00972C56"/>
    <w:rsid w:val="009771CF"/>
    <w:rsid w:val="00983B0D"/>
    <w:rsid w:val="00984342"/>
    <w:rsid w:val="00985813"/>
    <w:rsid w:val="009858FB"/>
    <w:rsid w:val="00985FDD"/>
    <w:rsid w:val="00987356"/>
    <w:rsid w:val="009973B4"/>
    <w:rsid w:val="009975F2"/>
    <w:rsid w:val="009A3C46"/>
    <w:rsid w:val="009A46DF"/>
    <w:rsid w:val="009A54EA"/>
    <w:rsid w:val="009A611E"/>
    <w:rsid w:val="009A76A1"/>
    <w:rsid w:val="009B3E6E"/>
    <w:rsid w:val="009B4611"/>
    <w:rsid w:val="009B606C"/>
    <w:rsid w:val="009B76ED"/>
    <w:rsid w:val="009B7EB8"/>
    <w:rsid w:val="009C22BC"/>
    <w:rsid w:val="009C3E61"/>
    <w:rsid w:val="009D0924"/>
    <w:rsid w:val="009D1FC3"/>
    <w:rsid w:val="009D48E6"/>
    <w:rsid w:val="009D5BB8"/>
    <w:rsid w:val="009D642E"/>
    <w:rsid w:val="009D6D70"/>
    <w:rsid w:val="009D7E11"/>
    <w:rsid w:val="009E0407"/>
    <w:rsid w:val="009E30DA"/>
    <w:rsid w:val="009E5541"/>
    <w:rsid w:val="009E6193"/>
    <w:rsid w:val="009E6BE6"/>
    <w:rsid w:val="009E7DD1"/>
    <w:rsid w:val="009F2BCB"/>
    <w:rsid w:val="009F609F"/>
    <w:rsid w:val="009F7EED"/>
    <w:rsid w:val="00A01006"/>
    <w:rsid w:val="00A01643"/>
    <w:rsid w:val="00A03114"/>
    <w:rsid w:val="00A05352"/>
    <w:rsid w:val="00A068AD"/>
    <w:rsid w:val="00A07E00"/>
    <w:rsid w:val="00A10C3D"/>
    <w:rsid w:val="00A115EA"/>
    <w:rsid w:val="00A11894"/>
    <w:rsid w:val="00A138EC"/>
    <w:rsid w:val="00A14D34"/>
    <w:rsid w:val="00A15CDF"/>
    <w:rsid w:val="00A169D0"/>
    <w:rsid w:val="00A17FFB"/>
    <w:rsid w:val="00A20F1D"/>
    <w:rsid w:val="00A22858"/>
    <w:rsid w:val="00A22C20"/>
    <w:rsid w:val="00A26E44"/>
    <w:rsid w:val="00A33258"/>
    <w:rsid w:val="00A34B9E"/>
    <w:rsid w:val="00A34EEE"/>
    <w:rsid w:val="00A377B6"/>
    <w:rsid w:val="00A43B08"/>
    <w:rsid w:val="00A458FE"/>
    <w:rsid w:val="00A502CC"/>
    <w:rsid w:val="00A53106"/>
    <w:rsid w:val="00A54F21"/>
    <w:rsid w:val="00A55527"/>
    <w:rsid w:val="00A57746"/>
    <w:rsid w:val="00A6128F"/>
    <w:rsid w:val="00A64C64"/>
    <w:rsid w:val="00A656F9"/>
    <w:rsid w:val="00A672B4"/>
    <w:rsid w:val="00A70964"/>
    <w:rsid w:val="00A70F11"/>
    <w:rsid w:val="00A7595A"/>
    <w:rsid w:val="00A801DE"/>
    <w:rsid w:val="00A85271"/>
    <w:rsid w:val="00A909A3"/>
    <w:rsid w:val="00A90A22"/>
    <w:rsid w:val="00A95DF8"/>
    <w:rsid w:val="00A960E3"/>
    <w:rsid w:val="00A97734"/>
    <w:rsid w:val="00AA1946"/>
    <w:rsid w:val="00AA1A59"/>
    <w:rsid w:val="00AA291D"/>
    <w:rsid w:val="00AA6C7E"/>
    <w:rsid w:val="00AA6F86"/>
    <w:rsid w:val="00AA7F40"/>
    <w:rsid w:val="00AB2990"/>
    <w:rsid w:val="00AB3547"/>
    <w:rsid w:val="00AB41FC"/>
    <w:rsid w:val="00AB7D2F"/>
    <w:rsid w:val="00AC3C8A"/>
    <w:rsid w:val="00AC3EE8"/>
    <w:rsid w:val="00AC763E"/>
    <w:rsid w:val="00AD11A5"/>
    <w:rsid w:val="00AD1721"/>
    <w:rsid w:val="00AD1C7F"/>
    <w:rsid w:val="00AD333E"/>
    <w:rsid w:val="00AD67E1"/>
    <w:rsid w:val="00AD6F34"/>
    <w:rsid w:val="00AD78E6"/>
    <w:rsid w:val="00AE4708"/>
    <w:rsid w:val="00AE4ED8"/>
    <w:rsid w:val="00AF062F"/>
    <w:rsid w:val="00AF0AAB"/>
    <w:rsid w:val="00AF156F"/>
    <w:rsid w:val="00AF26A7"/>
    <w:rsid w:val="00AF3BBF"/>
    <w:rsid w:val="00AF4316"/>
    <w:rsid w:val="00AF53B8"/>
    <w:rsid w:val="00AF616B"/>
    <w:rsid w:val="00B05366"/>
    <w:rsid w:val="00B05691"/>
    <w:rsid w:val="00B0685B"/>
    <w:rsid w:val="00B103EA"/>
    <w:rsid w:val="00B1361A"/>
    <w:rsid w:val="00B13FAB"/>
    <w:rsid w:val="00B17A56"/>
    <w:rsid w:val="00B2058D"/>
    <w:rsid w:val="00B20E72"/>
    <w:rsid w:val="00B21CD1"/>
    <w:rsid w:val="00B22D22"/>
    <w:rsid w:val="00B23030"/>
    <w:rsid w:val="00B237B9"/>
    <w:rsid w:val="00B23A5E"/>
    <w:rsid w:val="00B23CAA"/>
    <w:rsid w:val="00B23D33"/>
    <w:rsid w:val="00B2577D"/>
    <w:rsid w:val="00B335B7"/>
    <w:rsid w:val="00B363B3"/>
    <w:rsid w:val="00B40A19"/>
    <w:rsid w:val="00B410EE"/>
    <w:rsid w:val="00B41946"/>
    <w:rsid w:val="00B4369C"/>
    <w:rsid w:val="00B443E9"/>
    <w:rsid w:val="00B44E79"/>
    <w:rsid w:val="00B453DF"/>
    <w:rsid w:val="00B52DA5"/>
    <w:rsid w:val="00B55292"/>
    <w:rsid w:val="00B5619D"/>
    <w:rsid w:val="00B57EAB"/>
    <w:rsid w:val="00B60132"/>
    <w:rsid w:val="00B64933"/>
    <w:rsid w:val="00B64949"/>
    <w:rsid w:val="00B655D0"/>
    <w:rsid w:val="00B65F1E"/>
    <w:rsid w:val="00B73980"/>
    <w:rsid w:val="00B75198"/>
    <w:rsid w:val="00B7605C"/>
    <w:rsid w:val="00B76C80"/>
    <w:rsid w:val="00B81284"/>
    <w:rsid w:val="00B8202D"/>
    <w:rsid w:val="00B83337"/>
    <w:rsid w:val="00B84589"/>
    <w:rsid w:val="00B857F1"/>
    <w:rsid w:val="00B87BB8"/>
    <w:rsid w:val="00B9117B"/>
    <w:rsid w:val="00B924D8"/>
    <w:rsid w:val="00B929FD"/>
    <w:rsid w:val="00B9422F"/>
    <w:rsid w:val="00B95759"/>
    <w:rsid w:val="00B95776"/>
    <w:rsid w:val="00B95B99"/>
    <w:rsid w:val="00B95F69"/>
    <w:rsid w:val="00BA19CC"/>
    <w:rsid w:val="00BA38C0"/>
    <w:rsid w:val="00BA53E0"/>
    <w:rsid w:val="00BA547B"/>
    <w:rsid w:val="00BA585A"/>
    <w:rsid w:val="00BA7FC5"/>
    <w:rsid w:val="00BB12B2"/>
    <w:rsid w:val="00BB36BA"/>
    <w:rsid w:val="00BB509E"/>
    <w:rsid w:val="00BB62BA"/>
    <w:rsid w:val="00BB69F8"/>
    <w:rsid w:val="00BC2015"/>
    <w:rsid w:val="00BC228E"/>
    <w:rsid w:val="00BC3352"/>
    <w:rsid w:val="00BC532D"/>
    <w:rsid w:val="00BC5DFE"/>
    <w:rsid w:val="00BC6CDF"/>
    <w:rsid w:val="00BC71B0"/>
    <w:rsid w:val="00BD0260"/>
    <w:rsid w:val="00BD5727"/>
    <w:rsid w:val="00BE27D6"/>
    <w:rsid w:val="00BE6A10"/>
    <w:rsid w:val="00BE78C0"/>
    <w:rsid w:val="00BF48DB"/>
    <w:rsid w:val="00BF49A2"/>
    <w:rsid w:val="00BF58D5"/>
    <w:rsid w:val="00BF597E"/>
    <w:rsid w:val="00BF5B95"/>
    <w:rsid w:val="00C028B7"/>
    <w:rsid w:val="00C0299D"/>
    <w:rsid w:val="00C03098"/>
    <w:rsid w:val="00C0339F"/>
    <w:rsid w:val="00C03F82"/>
    <w:rsid w:val="00C04E5B"/>
    <w:rsid w:val="00C07B7C"/>
    <w:rsid w:val="00C1018A"/>
    <w:rsid w:val="00C14685"/>
    <w:rsid w:val="00C173F0"/>
    <w:rsid w:val="00C17595"/>
    <w:rsid w:val="00C31264"/>
    <w:rsid w:val="00C31C73"/>
    <w:rsid w:val="00C32EA5"/>
    <w:rsid w:val="00C34DC2"/>
    <w:rsid w:val="00C37D15"/>
    <w:rsid w:val="00C41967"/>
    <w:rsid w:val="00C42B88"/>
    <w:rsid w:val="00C45C74"/>
    <w:rsid w:val="00C46917"/>
    <w:rsid w:val="00C46B78"/>
    <w:rsid w:val="00C513E5"/>
    <w:rsid w:val="00C515AC"/>
    <w:rsid w:val="00C51A36"/>
    <w:rsid w:val="00C5212D"/>
    <w:rsid w:val="00C53CCD"/>
    <w:rsid w:val="00C548BE"/>
    <w:rsid w:val="00C55228"/>
    <w:rsid w:val="00C55261"/>
    <w:rsid w:val="00C553CD"/>
    <w:rsid w:val="00C578A6"/>
    <w:rsid w:val="00C57AF9"/>
    <w:rsid w:val="00C643B0"/>
    <w:rsid w:val="00C6584D"/>
    <w:rsid w:val="00C67E19"/>
    <w:rsid w:val="00C67E47"/>
    <w:rsid w:val="00C71E85"/>
    <w:rsid w:val="00C73543"/>
    <w:rsid w:val="00C74F8C"/>
    <w:rsid w:val="00C75B42"/>
    <w:rsid w:val="00C77656"/>
    <w:rsid w:val="00C81ACE"/>
    <w:rsid w:val="00C846D1"/>
    <w:rsid w:val="00C85031"/>
    <w:rsid w:val="00C85583"/>
    <w:rsid w:val="00C86F9B"/>
    <w:rsid w:val="00C87FEE"/>
    <w:rsid w:val="00C90DD2"/>
    <w:rsid w:val="00C911DA"/>
    <w:rsid w:val="00C920A9"/>
    <w:rsid w:val="00CA1035"/>
    <w:rsid w:val="00CA22B6"/>
    <w:rsid w:val="00CA2B7F"/>
    <w:rsid w:val="00CA5A02"/>
    <w:rsid w:val="00CA6D75"/>
    <w:rsid w:val="00CB0B69"/>
    <w:rsid w:val="00CB11CC"/>
    <w:rsid w:val="00CB21C8"/>
    <w:rsid w:val="00CB254E"/>
    <w:rsid w:val="00CB260B"/>
    <w:rsid w:val="00CB2BCA"/>
    <w:rsid w:val="00CB30F8"/>
    <w:rsid w:val="00CB39AB"/>
    <w:rsid w:val="00CB780D"/>
    <w:rsid w:val="00CC0FFF"/>
    <w:rsid w:val="00CC3C67"/>
    <w:rsid w:val="00CC5710"/>
    <w:rsid w:val="00CC7630"/>
    <w:rsid w:val="00CD3512"/>
    <w:rsid w:val="00CD5A88"/>
    <w:rsid w:val="00CE2A9E"/>
    <w:rsid w:val="00CE315A"/>
    <w:rsid w:val="00CE5A3D"/>
    <w:rsid w:val="00CE7591"/>
    <w:rsid w:val="00CE7BE1"/>
    <w:rsid w:val="00CF147A"/>
    <w:rsid w:val="00CF1726"/>
    <w:rsid w:val="00CF1E64"/>
    <w:rsid w:val="00CF46F8"/>
    <w:rsid w:val="00CF615B"/>
    <w:rsid w:val="00CF6266"/>
    <w:rsid w:val="00CF6C5C"/>
    <w:rsid w:val="00CF6FBA"/>
    <w:rsid w:val="00D0077F"/>
    <w:rsid w:val="00D02852"/>
    <w:rsid w:val="00D02F7F"/>
    <w:rsid w:val="00D04468"/>
    <w:rsid w:val="00D04BC5"/>
    <w:rsid w:val="00D06F59"/>
    <w:rsid w:val="00D073F6"/>
    <w:rsid w:val="00D123C8"/>
    <w:rsid w:val="00D13798"/>
    <w:rsid w:val="00D150B7"/>
    <w:rsid w:val="00D214D8"/>
    <w:rsid w:val="00D216DF"/>
    <w:rsid w:val="00D2302E"/>
    <w:rsid w:val="00D2691C"/>
    <w:rsid w:val="00D3340A"/>
    <w:rsid w:val="00D3392D"/>
    <w:rsid w:val="00D35060"/>
    <w:rsid w:val="00D35353"/>
    <w:rsid w:val="00D35B64"/>
    <w:rsid w:val="00D35FC3"/>
    <w:rsid w:val="00D363BF"/>
    <w:rsid w:val="00D37C06"/>
    <w:rsid w:val="00D37F3C"/>
    <w:rsid w:val="00D429D7"/>
    <w:rsid w:val="00D42D77"/>
    <w:rsid w:val="00D44AD0"/>
    <w:rsid w:val="00D458E8"/>
    <w:rsid w:val="00D47627"/>
    <w:rsid w:val="00D47A82"/>
    <w:rsid w:val="00D5229B"/>
    <w:rsid w:val="00D55BC5"/>
    <w:rsid w:val="00D55E69"/>
    <w:rsid w:val="00D562F6"/>
    <w:rsid w:val="00D56512"/>
    <w:rsid w:val="00D566B4"/>
    <w:rsid w:val="00D624A3"/>
    <w:rsid w:val="00D63565"/>
    <w:rsid w:val="00D75B5B"/>
    <w:rsid w:val="00D8064B"/>
    <w:rsid w:val="00D8388C"/>
    <w:rsid w:val="00D87E15"/>
    <w:rsid w:val="00D940F8"/>
    <w:rsid w:val="00D95656"/>
    <w:rsid w:val="00D96342"/>
    <w:rsid w:val="00D96755"/>
    <w:rsid w:val="00D972E0"/>
    <w:rsid w:val="00D9790F"/>
    <w:rsid w:val="00D97B82"/>
    <w:rsid w:val="00DA0DF0"/>
    <w:rsid w:val="00DA1244"/>
    <w:rsid w:val="00DA53CD"/>
    <w:rsid w:val="00DA644D"/>
    <w:rsid w:val="00DA6E75"/>
    <w:rsid w:val="00DA7616"/>
    <w:rsid w:val="00DB46AB"/>
    <w:rsid w:val="00DB6276"/>
    <w:rsid w:val="00DB7121"/>
    <w:rsid w:val="00DC1691"/>
    <w:rsid w:val="00DC44CE"/>
    <w:rsid w:val="00DC4F7D"/>
    <w:rsid w:val="00DC5865"/>
    <w:rsid w:val="00DC6E5C"/>
    <w:rsid w:val="00DD06F0"/>
    <w:rsid w:val="00DD0FC1"/>
    <w:rsid w:val="00DD1C8E"/>
    <w:rsid w:val="00DD55F5"/>
    <w:rsid w:val="00DE09D9"/>
    <w:rsid w:val="00DE146D"/>
    <w:rsid w:val="00DE2D80"/>
    <w:rsid w:val="00DE39E6"/>
    <w:rsid w:val="00DE6FCE"/>
    <w:rsid w:val="00DE705C"/>
    <w:rsid w:val="00DF1363"/>
    <w:rsid w:val="00DF3D3F"/>
    <w:rsid w:val="00DF3ECC"/>
    <w:rsid w:val="00DF4787"/>
    <w:rsid w:val="00DF76DB"/>
    <w:rsid w:val="00E02739"/>
    <w:rsid w:val="00E038E4"/>
    <w:rsid w:val="00E063C6"/>
    <w:rsid w:val="00E0682D"/>
    <w:rsid w:val="00E12BF8"/>
    <w:rsid w:val="00E13CEC"/>
    <w:rsid w:val="00E13D9A"/>
    <w:rsid w:val="00E14380"/>
    <w:rsid w:val="00E21428"/>
    <w:rsid w:val="00E21843"/>
    <w:rsid w:val="00E220C2"/>
    <w:rsid w:val="00E238CD"/>
    <w:rsid w:val="00E23F44"/>
    <w:rsid w:val="00E25215"/>
    <w:rsid w:val="00E277B2"/>
    <w:rsid w:val="00E30FCB"/>
    <w:rsid w:val="00E32D13"/>
    <w:rsid w:val="00E35ABC"/>
    <w:rsid w:val="00E43822"/>
    <w:rsid w:val="00E44012"/>
    <w:rsid w:val="00E440D7"/>
    <w:rsid w:val="00E442C3"/>
    <w:rsid w:val="00E44B66"/>
    <w:rsid w:val="00E45E8D"/>
    <w:rsid w:val="00E52DEB"/>
    <w:rsid w:val="00E534B0"/>
    <w:rsid w:val="00E54035"/>
    <w:rsid w:val="00E54B43"/>
    <w:rsid w:val="00E5518D"/>
    <w:rsid w:val="00E610A0"/>
    <w:rsid w:val="00E62631"/>
    <w:rsid w:val="00E62996"/>
    <w:rsid w:val="00E63714"/>
    <w:rsid w:val="00E64A51"/>
    <w:rsid w:val="00E65473"/>
    <w:rsid w:val="00E66E67"/>
    <w:rsid w:val="00E676F9"/>
    <w:rsid w:val="00E7040E"/>
    <w:rsid w:val="00E70928"/>
    <w:rsid w:val="00E70E23"/>
    <w:rsid w:val="00E764D2"/>
    <w:rsid w:val="00E769D5"/>
    <w:rsid w:val="00E77648"/>
    <w:rsid w:val="00E80989"/>
    <w:rsid w:val="00E8200F"/>
    <w:rsid w:val="00E82898"/>
    <w:rsid w:val="00E83AC7"/>
    <w:rsid w:val="00E910C0"/>
    <w:rsid w:val="00E91F6D"/>
    <w:rsid w:val="00E92703"/>
    <w:rsid w:val="00E93BC8"/>
    <w:rsid w:val="00E9449D"/>
    <w:rsid w:val="00E97424"/>
    <w:rsid w:val="00EA0D54"/>
    <w:rsid w:val="00EA10B1"/>
    <w:rsid w:val="00EA3C65"/>
    <w:rsid w:val="00EA48AE"/>
    <w:rsid w:val="00EA55F7"/>
    <w:rsid w:val="00EA6AD7"/>
    <w:rsid w:val="00EA7BEC"/>
    <w:rsid w:val="00EB0164"/>
    <w:rsid w:val="00EB0B6E"/>
    <w:rsid w:val="00EB2329"/>
    <w:rsid w:val="00EB4FD0"/>
    <w:rsid w:val="00EB5DF5"/>
    <w:rsid w:val="00EB65F7"/>
    <w:rsid w:val="00EB72C9"/>
    <w:rsid w:val="00EB7B61"/>
    <w:rsid w:val="00EC42F5"/>
    <w:rsid w:val="00EC5062"/>
    <w:rsid w:val="00EC6620"/>
    <w:rsid w:val="00EC73DA"/>
    <w:rsid w:val="00ED0F62"/>
    <w:rsid w:val="00ED22E3"/>
    <w:rsid w:val="00ED30A0"/>
    <w:rsid w:val="00ED77A9"/>
    <w:rsid w:val="00EF0B04"/>
    <w:rsid w:val="00EF36E7"/>
    <w:rsid w:val="00F02F60"/>
    <w:rsid w:val="00F03382"/>
    <w:rsid w:val="00F0431B"/>
    <w:rsid w:val="00F06D09"/>
    <w:rsid w:val="00F0715C"/>
    <w:rsid w:val="00F11201"/>
    <w:rsid w:val="00F11C03"/>
    <w:rsid w:val="00F14D99"/>
    <w:rsid w:val="00F23B35"/>
    <w:rsid w:val="00F23FF4"/>
    <w:rsid w:val="00F2542E"/>
    <w:rsid w:val="00F31115"/>
    <w:rsid w:val="00F32CB9"/>
    <w:rsid w:val="00F33729"/>
    <w:rsid w:val="00F342FC"/>
    <w:rsid w:val="00F35CD7"/>
    <w:rsid w:val="00F3666E"/>
    <w:rsid w:val="00F4225C"/>
    <w:rsid w:val="00F452BD"/>
    <w:rsid w:val="00F4555F"/>
    <w:rsid w:val="00F507DD"/>
    <w:rsid w:val="00F51005"/>
    <w:rsid w:val="00F51B53"/>
    <w:rsid w:val="00F53FD7"/>
    <w:rsid w:val="00F54104"/>
    <w:rsid w:val="00F5492A"/>
    <w:rsid w:val="00F5511A"/>
    <w:rsid w:val="00F55C97"/>
    <w:rsid w:val="00F55DAA"/>
    <w:rsid w:val="00F606E1"/>
    <w:rsid w:val="00F657C4"/>
    <w:rsid w:val="00F6739D"/>
    <w:rsid w:val="00F7010A"/>
    <w:rsid w:val="00F74DB4"/>
    <w:rsid w:val="00F763FF"/>
    <w:rsid w:val="00F80C36"/>
    <w:rsid w:val="00F83639"/>
    <w:rsid w:val="00F840C3"/>
    <w:rsid w:val="00F842BF"/>
    <w:rsid w:val="00F856F5"/>
    <w:rsid w:val="00F87F8F"/>
    <w:rsid w:val="00F90091"/>
    <w:rsid w:val="00F948ED"/>
    <w:rsid w:val="00F95049"/>
    <w:rsid w:val="00F956F5"/>
    <w:rsid w:val="00F97389"/>
    <w:rsid w:val="00F977FD"/>
    <w:rsid w:val="00F9781F"/>
    <w:rsid w:val="00FA0833"/>
    <w:rsid w:val="00FA1505"/>
    <w:rsid w:val="00FA350D"/>
    <w:rsid w:val="00FA60D4"/>
    <w:rsid w:val="00FA73A0"/>
    <w:rsid w:val="00FB03C3"/>
    <w:rsid w:val="00FB057A"/>
    <w:rsid w:val="00FB20A6"/>
    <w:rsid w:val="00FB2652"/>
    <w:rsid w:val="00FB3FC7"/>
    <w:rsid w:val="00FB5A65"/>
    <w:rsid w:val="00FB6EF2"/>
    <w:rsid w:val="00FB74E0"/>
    <w:rsid w:val="00FB7834"/>
    <w:rsid w:val="00FB7DB5"/>
    <w:rsid w:val="00FB7EC7"/>
    <w:rsid w:val="00FC163B"/>
    <w:rsid w:val="00FC1DB9"/>
    <w:rsid w:val="00FC2FCC"/>
    <w:rsid w:val="00FC35EF"/>
    <w:rsid w:val="00FC38C8"/>
    <w:rsid w:val="00FC6F95"/>
    <w:rsid w:val="00FC6FE0"/>
    <w:rsid w:val="00FD1448"/>
    <w:rsid w:val="00FD2869"/>
    <w:rsid w:val="00FD3AB4"/>
    <w:rsid w:val="00FD5EE5"/>
    <w:rsid w:val="00FD72A6"/>
    <w:rsid w:val="00FE065B"/>
    <w:rsid w:val="00FE09C9"/>
    <w:rsid w:val="00FE31A7"/>
    <w:rsid w:val="00FE3376"/>
    <w:rsid w:val="00FE3B1D"/>
    <w:rsid w:val="00FE44F6"/>
    <w:rsid w:val="00FE6115"/>
    <w:rsid w:val="00FF593B"/>
    <w:rsid w:val="00FF68FF"/>
    <w:rsid w:val="108219C2"/>
    <w:rsid w:val="32457058"/>
    <w:rsid w:val="5EA12B9A"/>
    <w:rsid w:val="7F181F1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9"/>
    <w:uiPriority w:val="0"/>
    <w:pPr>
      <w:ind w:left="360"/>
    </w:pPr>
    <w:rPr>
      <w:rFonts w:ascii="宋体"/>
      <w:sz w:val="20"/>
    </w:r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批注框文本 Char"/>
    <w:basedOn w:val="8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3">
    <w:name w:val="fontstyle01"/>
    <w:basedOn w:val="8"/>
    <w:qFormat/>
    <w:uiPriority w:val="0"/>
    <w:rPr>
      <w:rFonts w:hint="eastAsia" w:ascii="宋体" w:hAnsi="宋体" w:eastAsia="宋体"/>
      <w:color w:val="000000"/>
      <w:sz w:val="24"/>
      <w:szCs w:val="24"/>
    </w:rPr>
  </w:style>
  <w:style w:type="character" w:customStyle="1" w:styleId="14">
    <w:name w:val="fontstyle21"/>
    <w:basedOn w:val="8"/>
    <w:uiPriority w:val="0"/>
    <w:rPr>
      <w:rFonts w:hint="default" w:ascii="Times New Roman" w:hAnsi="Times New Roman" w:cs="Times New Roman"/>
      <w:color w:val="000000"/>
      <w:sz w:val="24"/>
      <w:szCs w:val="24"/>
    </w:rPr>
  </w:style>
  <w:style w:type="paragraph" w:customStyle="1" w:styleId="15">
    <w:name w:val="东方正文"/>
    <w:basedOn w:val="1"/>
    <w:uiPriority w:val="0"/>
    <w:pPr>
      <w:spacing w:line="400" w:lineRule="exact"/>
      <w:ind w:left="284" w:right="284"/>
    </w:pPr>
    <w:rPr>
      <w:sz w:val="24"/>
    </w:rPr>
  </w:style>
  <w:style w:type="paragraph" w:customStyle="1" w:styleId="16">
    <w:name w:val="_Style 2"/>
    <w:basedOn w:val="1"/>
    <w:qFormat/>
    <w:uiPriority w:val="34"/>
    <w:pPr>
      <w:widowControl/>
      <w:ind w:firstLine="420" w:firstLineChars="200"/>
      <w:jc w:val="left"/>
    </w:pPr>
    <w:rPr>
      <w:kern w:val="0"/>
      <w:sz w:val="20"/>
      <w:lang w:eastAsia="en-US"/>
    </w:rPr>
  </w:style>
  <w:style w:type="paragraph" w:styleId="17">
    <w:name w:val="No Spacing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8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9">
    <w:name w:val="正文文本缩进 Char"/>
    <w:basedOn w:val="8"/>
    <w:link w:val="2"/>
    <w:uiPriority w:val="0"/>
    <w:rPr>
      <w:rFonts w:ascii="宋体" w:hAnsi="Times New Roman" w:eastAsia="宋体" w:cs="Times New Roman"/>
      <w:kern w:val="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395</Words>
  <Characters>2256</Characters>
  <Lines>18</Lines>
  <Paragraphs>5</Paragraphs>
  <TotalTime>25</TotalTime>
  <ScaleCrop>false</ScaleCrop>
  <LinksUpToDate>false</LinksUpToDate>
  <CharactersWithSpaces>2646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Lenovo</cp:lastModifiedBy>
  <dcterms:modified xsi:type="dcterms:W3CDTF">2021-09-23T02:59:35Z</dcterms:modified>
  <cp:revision>1675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DC184D55C2CC44FC820E745936FB6724</vt:lpwstr>
  </property>
</Properties>
</file>