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主管领导：杨方梅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  温红玲（实习）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2日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bookmarkStart w:id="0" w:name="_GoBack"/>
            <w:bookmarkEnd w:id="0"/>
            <w:r>
              <w:rPr>
                <w:rFonts w:hint="eastAsia" w:ascii="宋体" w:hAnsi="宋体" w:cs="Arial"/>
                <w:szCs w:val="21"/>
              </w:rPr>
              <w:t>O: 5.3组织的岗位、职责和权限、6.2目标、6.1.2因素辨识与评价、8.2应急准备和响应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ascii="宋体" w:cs="宋体"/>
                <w:b w:val="0"/>
                <w:bCs w:val="0"/>
                <w:szCs w:val="21"/>
              </w:rPr>
              <w:t>O5.3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采购部按照公司领导要求，做好公司职能和岗位的具体确定，对从事与销售有关的管理、执行和验证人员规定其职责、权限及其相互关系，以实现公司管理方针和管理目标。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采购部负责人：杨方梅。在手册中确定了办公室部门的的职能，人员职责、权限和相互关系。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编制供应商管理制度，构建供应商管理体系，包括供应商引入制度及考评机制等；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负责供方调查、评定工作等；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贯彻实施公司的质量、环境和职业健康安全及企业管理方针、目标、指标和管理方案；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对本部门环境因素、危险源进行辨识和评价，制订控制措施；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对工作场所进行风险控制，保护环境。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询问采购部人员，基本清楚本部门职责。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危险源识别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与评价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O6.1.2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公司制定《危险源辨识与风险评价控制措施管理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提供了“危险源辨识和风险评价表”，业务部门活动识别的危险源为办公场所不按规定使用电安全、人员外出乘车发生车祸、天热引起中暑、人员疫情防控等。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活动识别的危险源未纳入公司制定的不可接受危险源控制范围内。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职业健康安全目标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职业健康安全目标实现措施策划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O6.2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O6.2.1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O6.2.2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采购部涉及的目标及实现情况是：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合格供方评定率≥99%；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100%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与供应商沟通及时率≥99%；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100%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职业病发生率0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0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办公场所分类处理各类废弃物，有专门收集箱并标识，回收处理率≥99%.    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月30日统计结果，目标均已完成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编制了《应急准备和响应管理程序》，查看内容基本符合要求。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策划了应急预案包括触电、火灾、中暑等应急预案。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查应急预案评估报告，通过以上评估，公司应急预案的制定基本合理。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参加公司举行的消防灭火演练和医疗急救演练，查应急演练记录。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查消防灭火演练，演练时间2021.3.27，地点厂区前空地，对演练过程进行了描述，并对预案的有效性进行了评价。</w:t>
            </w:r>
          </w:p>
          <w:p>
            <w:pPr>
              <w:spacing w:line="360" w:lineRule="auto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目前未发生火灾、人身伤害等事故。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Bijing Intrnational Standard unitd Crtification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8A3B3"/>
    <w:multiLevelType w:val="singleLevel"/>
    <w:tmpl w:val="B598A3B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06A83"/>
    <w:rsid w:val="00011A1F"/>
    <w:rsid w:val="00011ABE"/>
    <w:rsid w:val="00076C21"/>
    <w:rsid w:val="00077C88"/>
    <w:rsid w:val="00083F17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E48ED"/>
    <w:rsid w:val="001F0E7B"/>
    <w:rsid w:val="00215D59"/>
    <w:rsid w:val="002533F4"/>
    <w:rsid w:val="00271E4E"/>
    <w:rsid w:val="00273847"/>
    <w:rsid w:val="002871F4"/>
    <w:rsid w:val="00287457"/>
    <w:rsid w:val="002B36EC"/>
    <w:rsid w:val="002C22A6"/>
    <w:rsid w:val="002C734F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12BB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544C"/>
    <w:rsid w:val="00567182"/>
    <w:rsid w:val="005A2330"/>
    <w:rsid w:val="005A23B2"/>
    <w:rsid w:val="005B6C34"/>
    <w:rsid w:val="005D1EE9"/>
    <w:rsid w:val="005D2531"/>
    <w:rsid w:val="00621EA2"/>
    <w:rsid w:val="006256EF"/>
    <w:rsid w:val="006315A3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961"/>
    <w:rsid w:val="00715292"/>
    <w:rsid w:val="007469D5"/>
    <w:rsid w:val="0075560B"/>
    <w:rsid w:val="00756C63"/>
    <w:rsid w:val="00761387"/>
    <w:rsid w:val="00774749"/>
    <w:rsid w:val="00777827"/>
    <w:rsid w:val="007861D2"/>
    <w:rsid w:val="007B4035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5119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BC0A8A"/>
    <w:rsid w:val="00C277AC"/>
    <w:rsid w:val="00C41F32"/>
    <w:rsid w:val="00C4272D"/>
    <w:rsid w:val="00C44388"/>
    <w:rsid w:val="00C53433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1A1"/>
    <w:rsid w:val="00E707CA"/>
    <w:rsid w:val="00E944DC"/>
    <w:rsid w:val="00E97654"/>
    <w:rsid w:val="00EA2EA2"/>
    <w:rsid w:val="00EB1A5C"/>
    <w:rsid w:val="00EB6AAC"/>
    <w:rsid w:val="00EC3C4C"/>
    <w:rsid w:val="00ED41DC"/>
    <w:rsid w:val="00EF78EA"/>
    <w:rsid w:val="00F000A1"/>
    <w:rsid w:val="00F01F3E"/>
    <w:rsid w:val="00F05246"/>
    <w:rsid w:val="00F058E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A755CD1"/>
    <w:rsid w:val="0D2C1866"/>
    <w:rsid w:val="11B844E6"/>
    <w:rsid w:val="1E4A3B03"/>
    <w:rsid w:val="2040422A"/>
    <w:rsid w:val="233E7107"/>
    <w:rsid w:val="33517E72"/>
    <w:rsid w:val="37C04211"/>
    <w:rsid w:val="41756FF7"/>
    <w:rsid w:val="43F34393"/>
    <w:rsid w:val="4DED56EF"/>
    <w:rsid w:val="4DF42216"/>
    <w:rsid w:val="50964725"/>
    <w:rsid w:val="595E13AD"/>
    <w:rsid w:val="5C894199"/>
    <w:rsid w:val="674154A3"/>
    <w:rsid w:val="6ADA214F"/>
    <w:rsid w:val="747D06DB"/>
    <w:rsid w:val="75B86B30"/>
    <w:rsid w:val="78214DF5"/>
    <w:rsid w:val="7F350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1680</Characters>
  <Lines>14</Lines>
  <Paragraphs>3</Paragraphs>
  <TotalTime>4</TotalTime>
  <ScaleCrop>false</ScaleCrop>
  <LinksUpToDate>false</LinksUpToDate>
  <CharactersWithSpaces>1971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2020-08-11T07:44:00Z</dcterms:created>
  <dc:creator>微软用户</dc:creator>
  <cp:lastModifiedBy>Admin</cp:lastModifiedBy>
  <dcterms:modified xsi:type="dcterms:W3CDTF">2021-09-26T06:24:32Z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BC2932FE827F436A9E03303C153EAEA1</vt:lpwstr>
  </property>
</Properties>
</file>