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tblpX="58" w:tblpY="1"/>
        <w:tblOverlap w:val="never"/>
        <w:tblW w:w="1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12"/>
        <w:gridCol w:w="1153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0" w:type="dxa"/>
            <w:vMerge w:val="restart"/>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过程与活动、</w:t>
            </w:r>
          </w:p>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抽样计划</w:t>
            </w:r>
          </w:p>
        </w:tc>
        <w:tc>
          <w:tcPr>
            <w:tcW w:w="812" w:type="dxa"/>
            <w:vMerge w:val="restart"/>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涉及条款</w:t>
            </w:r>
          </w:p>
        </w:tc>
        <w:tc>
          <w:tcPr>
            <w:tcW w:w="11538" w:type="dxa"/>
            <w:vAlign w:val="center"/>
          </w:tcPr>
          <w:p>
            <w:pPr>
              <w:keepNext w:val="0"/>
              <w:keepLines w:val="0"/>
              <w:pageBreakBefore w:val="0"/>
              <w:kinsoku/>
              <w:wordWrap/>
              <w:overflowPunct/>
              <w:topLinePunct w:val="0"/>
              <w:bidi w:val="0"/>
              <w:ind w:left="0" w:leftChars="0" w:firstLine="0" w:firstLineChars="0"/>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受审核部门：</w:t>
            </w:r>
            <w:r>
              <w:rPr>
                <w:rFonts w:hint="default" w:ascii="Times New Roman" w:hAnsi="Times New Roman" w:cs="Times New Roman"/>
                <w:szCs w:val="21"/>
                <w:lang w:val="en-US" w:eastAsia="zh-CN"/>
              </w:rPr>
              <w:t>设备制造部</w:t>
            </w:r>
            <w:r>
              <w:rPr>
                <w:rFonts w:hint="default" w:ascii="Times New Roman" w:hAnsi="Times New Roman" w:cs="Times New Roman"/>
                <w:szCs w:val="21"/>
              </w:rPr>
              <w:t xml:space="preserve">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主管领导：谢雪友</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 w:val="21"/>
                <w:szCs w:val="21"/>
              </w:rPr>
              <w:t>陪同人员：</w:t>
            </w:r>
            <w:r>
              <w:rPr>
                <w:rFonts w:hint="eastAsia" w:cs="Times New Roman"/>
                <w:sz w:val="21"/>
                <w:szCs w:val="21"/>
                <w:lang w:val="en-US" w:eastAsia="zh-CN"/>
              </w:rPr>
              <w:t>周坤</w:t>
            </w:r>
          </w:p>
        </w:tc>
        <w:tc>
          <w:tcPr>
            <w:tcW w:w="762" w:type="dxa"/>
            <w:vMerge w:val="restart"/>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40" w:type="dxa"/>
            <w:vMerge w:val="continue"/>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c>
          <w:tcPr>
            <w:tcW w:w="812" w:type="dxa"/>
            <w:vMerge w:val="continue"/>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c>
          <w:tcPr>
            <w:tcW w:w="11538" w:type="dxa"/>
            <w:vAlign w:val="center"/>
          </w:tcPr>
          <w:p>
            <w:pPr>
              <w:pStyle w:val="4"/>
              <w:keepNext w:val="0"/>
              <w:keepLines w:val="0"/>
              <w:pageBreakBefore w:val="0"/>
              <w:kinsoku/>
              <w:wordWrap/>
              <w:overflowPunct/>
              <w:topLinePunct w:val="0"/>
              <w:bidi w:val="0"/>
              <w:spacing w:after="0"/>
              <w:ind w:left="0" w:leftChars="0" w:firstLine="0" w:firstLineChars="0"/>
              <w:textAlignment w:val="auto"/>
              <w:rPr>
                <w:rFonts w:hint="default" w:ascii="Times New Roman" w:hAnsi="Times New Roman" w:cs="Times New Roman"/>
                <w:lang w:val="en-US"/>
              </w:rPr>
            </w:pPr>
            <w:r>
              <w:rPr>
                <w:rFonts w:hint="default" w:ascii="Times New Roman" w:hAnsi="Times New Roman" w:cs="Times New Roman"/>
              </w:rPr>
              <w:t>审核员：</w:t>
            </w:r>
            <w:r>
              <w:rPr>
                <w:rFonts w:hint="default" w:ascii="Times New Roman" w:hAnsi="Times New Roman" w:cs="Times New Roman"/>
                <w:lang w:val="en-US" w:eastAsia="zh-CN"/>
              </w:rPr>
              <w:t>林兵</w:t>
            </w:r>
            <w:r>
              <w:rPr>
                <w:rFonts w:hint="eastAsia" w:cs="Times New Roman"/>
                <w:lang w:val="en-US" w:eastAsia="zh-CN"/>
              </w:rPr>
              <w:t xml:space="preserve"> </w:t>
            </w:r>
            <w:bookmarkStart w:id="1" w:name="_GoBack"/>
            <w:bookmarkEnd w:id="1"/>
            <w:r>
              <w:rPr>
                <w:rFonts w:hint="default" w:ascii="Times New Roman" w:hAnsi="Times New Roman" w:cs="Times New Roman"/>
              </w:rPr>
              <w:t xml:space="preserve">      审核时间：2021.</w:t>
            </w:r>
            <w:r>
              <w:rPr>
                <w:rFonts w:hint="default" w:ascii="Times New Roman" w:hAnsi="Times New Roman" w:cs="Times New Roman"/>
                <w:lang w:val="en-US" w:eastAsia="zh-CN"/>
              </w:rPr>
              <w:t>8.27</w:t>
            </w:r>
          </w:p>
        </w:tc>
        <w:tc>
          <w:tcPr>
            <w:tcW w:w="762" w:type="dxa"/>
            <w:vMerge w:val="continue"/>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40" w:type="dxa"/>
            <w:vMerge w:val="continue"/>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c>
          <w:tcPr>
            <w:tcW w:w="812" w:type="dxa"/>
            <w:vMerge w:val="continue"/>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c>
          <w:tcPr>
            <w:tcW w:w="11538"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审核条款</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QMS</w:t>
            </w:r>
            <w:r>
              <w:rPr>
                <w:rFonts w:hint="default" w:ascii="Times New Roman" w:hAnsi="Times New Roman" w:cs="Times New Roman"/>
                <w:szCs w:val="21"/>
              </w:rPr>
              <w:t>：</w:t>
            </w:r>
            <w:r>
              <w:rPr>
                <w:rFonts w:hint="default" w:ascii="Times New Roman" w:hAnsi="Times New Roman" w:cs="Times New Roman"/>
                <w:szCs w:val="21"/>
                <w:lang w:val="en-US" w:eastAsia="zh-CN"/>
              </w:rPr>
              <w:t>5.3/6.2/7.1.3/7.1.4/8.1/8.5.1/8.5.2/8.5.4/8.5.5/8.5.6</w:t>
            </w:r>
          </w:p>
        </w:tc>
        <w:tc>
          <w:tcPr>
            <w:tcW w:w="762" w:type="dxa"/>
            <w:vMerge w:val="continue"/>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组织的岗位职责、权限</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Q5.3</w:t>
            </w:r>
          </w:p>
        </w:tc>
        <w:tc>
          <w:tcPr>
            <w:tcW w:w="11538" w:type="dxa"/>
            <w:vAlign w:val="center"/>
          </w:tcPr>
          <w:p>
            <w:pPr>
              <w:keepNext w:val="0"/>
              <w:keepLines w:val="0"/>
              <w:pageBreakBefore w:val="0"/>
              <w:kinsoku/>
              <w:wordWrap/>
              <w:overflowPunct/>
              <w:topLinePunct w:val="0"/>
              <w:bidi w:val="0"/>
              <w:ind w:left="0" w:leftChars="0" w:firstLine="0" w:firstLineChars="0"/>
              <w:textAlignment w:val="auto"/>
              <w:rPr>
                <w:rFonts w:hint="default"/>
              </w:rPr>
            </w:pPr>
            <w:r>
              <w:rPr>
                <w:rFonts w:hint="default"/>
                <w:lang w:eastAsia="zh-CN"/>
              </w:rPr>
              <w:t>设备制造部</w:t>
            </w:r>
            <w:r>
              <w:rPr>
                <w:rFonts w:hint="default"/>
              </w:rPr>
              <w:t>主要作用、职责和权限包括:1）在生产过程中，协调、支持相关部门贯彻管理方针和目标的有效运行，向客户提供合格的产品；执行本公司有关质量工作的规定，协助有关质量部门做好管理工作，对生产过程加以控制，保持生产正常运行；负责本公司的设备管理及产品标识和可追溯性的归口管理工作</w:t>
            </w:r>
            <w:r>
              <w:rPr>
                <w:rFonts w:hint="eastAsia"/>
                <w:lang w:eastAsia="zh-CN"/>
              </w:rPr>
              <w:t>；</w:t>
            </w:r>
            <w:r>
              <w:rPr>
                <w:rFonts w:hint="default"/>
              </w:rPr>
              <w:t>负责向有关领导及相关部门及时传送产品质量信息和对不合格产品评审的归口管理，在发生重大质量事故时，及时报告总经理；负责生产加工过程环境、安全控制。</w:t>
            </w:r>
          </w:p>
          <w:p>
            <w:pPr>
              <w:bidi w:val="0"/>
              <w:jc w:val="left"/>
              <w:rPr>
                <w:rFonts w:hint="default"/>
                <w:lang w:val="en-US" w:eastAsia="zh-CN"/>
              </w:rPr>
            </w:pPr>
            <w:r>
              <w:rPr>
                <w:rFonts w:hint="default"/>
                <w:lang w:eastAsia="zh-CN"/>
              </w:rPr>
              <w:t>设备制造部</w:t>
            </w:r>
            <w:r>
              <w:rPr>
                <w:rFonts w:hint="default"/>
              </w:rPr>
              <w:t>上述作用和职责、权限基本得到有效沟通和实施。</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目标、方案</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Q6.2</w:t>
            </w:r>
          </w:p>
        </w:tc>
        <w:tc>
          <w:tcPr>
            <w:tcW w:w="11538" w:type="dxa"/>
            <w:vAlign w:val="center"/>
          </w:tcPr>
          <w:p>
            <w:pPr>
              <w:snapToGrid w:val="0"/>
              <w:ind w:firstLine="420" w:firstLineChars="200"/>
            </w:pPr>
            <w:r>
              <w:rPr>
                <w:rFonts w:hint="eastAsia"/>
              </w:rPr>
              <w:t>管理目标有：</w:t>
            </w:r>
          </w:p>
          <w:p>
            <w:pPr>
              <w:snapToGrid w:val="0"/>
              <w:ind w:firstLine="420" w:firstLineChars="200"/>
            </w:pPr>
            <w:r>
              <w:rPr>
                <w:rFonts w:hint="eastAsia"/>
              </w:rPr>
              <w:t>查</w:t>
            </w:r>
            <w:r>
              <w:rPr>
                <w:rFonts w:hint="eastAsia"/>
                <w:lang w:val="en-US" w:eastAsia="zh-CN"/>
              </w:rPr>
              <w:t>设备制造部</w:t>
            </w:r>
            <w:r>
              <w:rPr>
                <w:rFonts w:hint="eastAsia"/>
              </w:rPr>
              <w:t>部门质量目标已明确</w:t>
            </w:r>
            <w:r>
              <w:rPr>
                <w:rFonts w:hint="eastAsia"/>
                <w:lang w:val="en-US" w:eastAsia="zh-CN"/>
              </w:rPr>
              <w:t>2</w:t>
            </w:r>
            <w:r>
              <w:rPr>
                <w:rFonts w:hint="eastAsia"/>
              </w:rPr>
              <w:t>项：</w:t>
            </w:r>
          </w:p>
          <w:tbl>
            <w:tblPr>
              <w:tblStyle w:val="9"/>
              <w:tblpPr w:leftFromText="180" w:rightFromText="180" w:vertAnchor="text" w:horzAnchor="page" w:tblpX="185" w:tblpY="22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4912"/>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bottom w:val="single" w:color="auto" w:sz="4" w:space="0"/>
                  </w:tcBorders>
                  <w:noWrap w:val="0"/>
                  <w:vAlign w:val="center"/>
                </w:tcPr>
                <w:p>
                  <w:pPr>
                    <w:pStyle w:val="3"/>
                    <w:spacing w:before="80" w:beforeLines="20" w:after="80" w:afterLines="20" w:line="0" w:lineRule="atLeast"/>
                    <w:ind w:left="0" w:leftChars="0" w:firstLine="0" w:firstLineChars="0"/>
                    <w:jc w:val="both"/>
                    <w:rPr>
                      <w:rFonts w:hint="eastAsia"/>
                    </w:rPr>
                  </w:pPr>
                  <w:r>
                    <w:rPr>
                      <w:rFonts w:hint="eastAsia"/>
                    </w:rPr>
                    <w:t>分目标</w:t>
                  </w:r>
                </w:p>
              </w:tc>
              <w:tc>
                <w:tcPr>
                  <w:tcW w:w="4912" w:type="dxa"/>
                  <w:tcBorders>
                    <w:bottom w:val="single" w:color="auto" w:sz="4" w:space="0"/>
                  </w:tcBorders>
                  <w:noWrap w:val="0"/>
                  <w:vAlign w:val="center"/>
                </w:tcPr>
                <w:p>
                  <w:pPr>
                    <w:pStyle w:val="3"/>
                    <w:spacing w:before="80" w:beforeLines="20" w:after="80" w:afterLines="20" w:line="0" w:lineRule="atLeast"/>
                    <w:ind w:left="0" w:leftChars="0" w:firstLine="0" w:firstLineChars="0"/>
                    <w:jc w:val="both"/>
                    <w:rPr>
                      <w:rFonts w:hint="eastAsia"/>
                    </w:rPr>
                  </w:pPr>
                  <w:r>
                    <w:rPr>
                      <w:rFonts w:hint="eastAsia"/>
                    </w:rPr>
                    <w:t>考核方法</w:t>
                  </w:r>
                </w:p>
              </w:tc>
              <w:tc>
                <w:tcPr>
                  <w:tcW w:w="1975" w:type="dxa"/>
                  <w:tcBorders>
                    <w:bottom w:val="single" w:color="auto" w:sz="4" w:space="0"/>
                  </w:tcBorders>
                  <w:noWrap w:val="0"/>
                  <w:vAlign w:val="center"/>
                </w:tcPr>
                <w:p>
                  <w:pPr>
                    <w:pStyle w:val="3"/>
                    <w:spacing w:before="80" w:beforeLines="20" w:after="80" w:afterLines="20" w:line="0" w:lineRule="atLeast"/>
                    <w:ind w:left="0" w:leftChars="0" w:firstLine="0" w:firstLineChars="0"/>
                    <w:jc w:val="both"/>
                    <w:rPr>
                      <w:rFonts w:hint="eastAsia"/>
                    </w:rPr>
                  </w:pPr>
                  <w:r>
                    <w:rPr>
                      <w:rFonts w:hint="eastAsia"/>
                    </w:rPr>
                    <w:t>考核结果1-6月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color w:val="000000"/>
                      <w:sz w:val="21"/>
                      <w:szCs w:val="21"/>
                    </w:rPr>
                    <w:t>1.准时交货率100%</w:t>
                  </w:r>
                </w:p>
              </w:tc>
              <w:tc>
                <w:tcPr>
                  <w:tcW w:w="4912" w:type="dxa"/>
                  <w:tcBorders>
                    <w:top w:val="single" w:color="auto" w:sz="4" w:space="0"/>
                    <w:left w:val="single" w:color="auto" w:sz="4" w:space="0"/>
                    <w:bottom w:val="single" w:color="auto" w:sz="4" w:space="0"/>
                    <w:right w:val="single" w:color="auto" w:sz="4" w:space="0"/>
                  </w:tcBorders>
                  <w:noWrap w:val="0"/>
                  <w:vAlign w:val="top"/>
                </w:tcPr>
                <w:p>
                  <w:pPr>
                    <w:pStyle w:val="3"/>
                    <w:tabs>
                      <w:tab w:val="right" w:pos="4073"/>
                    </w:tabs>
                    <w:spacing w:before="60" w:beforeLines="15" w:after="60" w:afterLines="15" w:line="0" w:lineRule="atLeast"/>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准时交货率＝准时交货数÷应交货总数×100%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3"/>
                    <w:spacing w:before="60" w:beforeLines="15" w:after="60" w:afterLines="15" w:line="0" w:lineRule="atLeast"/>
                    <w:ind w:left="0" w:leftChars="0" w:firstLine="744" w:firstLineChars="0"/>
                    <w:jc w:val="left"/>
                    <w:rPr>
                      <w:rFonts w:hint="eastAsia" w:ascii="宋体" w:hAnsi="宋体" w:eastAsia="宋体" w:cs="宋体"/>
                      <w:sz w:val="21"/>
                      <w:szCs w:val="21"/>
                    </w:rPr>
                  </w:pPr>
                  <w:r>
                    <w:rPr>
                      <w:rFonts w:hint="eastAsia" w:ascii="宋体" w:hAnsi="宋体" w:eastAsia="宋体" w:cs="宋体"/>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color w:val="000000"/>
                      <w:sz w:val="21"/>
                      <w:szCs w:val="21"/>
                    </w:rPr>
                    <w:t>2.产品一次交付合格率≥95%</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pStyle w:val="3"/>
                    <w:spacing w:before="60" w:beforeLines="15" w:after="60" w:afterLines="15" w:line="0" w:lineRule="atLeast"/>
                    <w:ind w:left="0"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合格率＝合格数量÷产品总数×100%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3"/>
                    <w:spacing w:before="60" w:beforeLines="15" w:after="60" w:afterLines="15" w:line="0" w:lineRule="atLeast"/>
                    <w:ind w:left="0" w:leftChars="0" w:firstLine="744" w:firstLineChars="0"/>
                    <w:jc w:val="left"/>
                    <w:rPr>
                      <w:rFonts w:hint="eastAsia" w:ascii="宋体" w:hAnsi="宋体" w:eastAsia="宋体" w:cs="宋体"/>
                      <w:sz w:val="21"/>
                      <w:szCs w:val="21"/>
                    </w:rPr>
                  </w:pPr>
                  <w:r>
                    <w:rPr>
                      <w:rFonts w:hint="eastAsia" w:ascii="宋体" w:hAnsi="宋体" w:eastAsia="宋体" w:cs="宋体"/>
                      <w:color w:val="00000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color w:val="000000"/>
                      <w:sz w:val="21"/>
                      <w:szCs w:val="21"/>
                    </w:rPr>
                    <w:t>3.设备完好率≥98%</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完好率＝完好设备÷设备总数×100%</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3"/>
                    <w:spacing w:before="60" w:beforeLines="15" w:after="60" w:afterLines="15" w:line="0" w:lineRule="atLeast"/>
                    <w:ind w:left="0" w:leftChars="0" w:firstLine="744" w:firstLineChars="0"/>
                    <w:jc w:val="left"/>
                    <w:rPr>
                      <w:rFonts w:hint="eastAsia" w:ascii="宋体" w:hAnsi="宋体" w:eastAsia="宋体" w:cs="宋体"/>
                      <w:sz w:val="21"/>
                      <w:szCs w:val="21"/>
                    </w:rPr>
                  </w:pPr>
                  <w:r>
                    <w:rPr>
                      <w:rFonts w:hint="eastAsia" w:ascii="宋体" w:hAnsi="宋体" w:eastAsia="宋体" w:cs="宋体"/>
                      <w:color w:val="000000"/>
                      <w:sz w:val="21"/>
                      <w:szCs w:val="21"/>
                    </w:rPr>
                    <w:t>100%</w:t>
                  </w:r>
                </w:p>
              </w:tc>
            </w:tr>
          </w:tbl>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snapToGrid w:val="0"/>
              <w:ind w:firstLine="420" w:firstLineChars="200"/>
              <w:rPr>
                <w:rFonts w:hint="eastAsia"/>
              </w:rPr>
            </w:pP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eastAsia="zh-CN"/>
              </w:rPr>
            </w:pPr>
            <w:r>
              <w:rPr>
                <w:rFonts w:hint="eastAsia"/>
              </w:rPr>
              <w:t>目标可测量，与公司方针一致。</w:t>
            </w:r>
            <w:r>
              <w:rPr>
                <w:rFonts w:hint="default"/>
              </w:rPr>
              <w:t>根据</w:t>
            </w:r>
            <w:r>
              <w:rPr>
                <w:rFonts w:hint="eastAsia"/>
                <w:lang w:val="en-US" w:eastAsia="zh-CN"/>
              </w:rPr>
              <w:t>2021年6月30日</w:t>
            </w:r>
            <w:r>
              <w:rPr>
                <w:rFonts w:hint="default"/>
              </w:rPr>
              <w:t>统计结果，目标均已完成。</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1540" w:type="dxa"/>
            <w:shd w:val="clear" w:color="auto" w:fill="auto"/>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基础设施</w:t>
            </w:r>
          </w:p>
        </w:tc>
        <w:tc>
          <w:tcPr>
            <w:tcW w:w="812" w:type="dxa"/>
            <w:shd w:val="clear" w:color="auto" w:fill="auto"/>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Q7.1.3 </w:t>
            </w:r>
          </w:p>
        </w:tc>
        <w:tc>
          <w:tcPr>
            <w:tcW w:w="1153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公司为确保质量管理体系的建立、实施和改进需要，提供并配备主要生产设备包括弯管器、精密型台钻、光纤激光打标机、移动梯子、手推车、液压车柱塞泵</w:t>
            </w:r>
            <w:r>
              <w:rPr>
                <w:rFonts w:hint="eastAsia"/>
                <w:lang w:eastAsia="zh-CN"/>
              </w:rPr>
              <w:t>、</w:t>
            </w:r>
            <w:r>
              <w:rPr>
                <w:rFonts w:hint="default"/>
              </w:rPr>
              <w:t>压力表</w:t>
            </w:r>
            <w:r>
              <w:rPr>
                <w:rFonts w:hint="eastAsia"/>
                <w:lang w:eastAsia="zh-CN"/>
              </w:rPr>
              <w:t>、</w:t>
            </w:r>
            <w:r>
              <w:rPr>
                <w:rFonts w:hint="default"/>
              </w:rPr>
              <w:t>泄压阀等生产设备</w:t>
            </w:r>
            <w:r>
              <w:rPr>
                <w:rFonts w:hint="eastAsia"/>
                <w:lang w:eastAsia="zh-CN"/>
              </w:rPr>
              <w:t>，</w:t>
            </w:r>
            <w:r>
              <w:rPr>
                <w:rFonts w:hint="default"/>
              </w:rPr>
              <w:t>游标卡尺</w:t>
            </w:r>
            <w:r>
              <w:rPr>
                <w:rFonts w:hint="default"/>
                <w:lang w:eastAsia="zh-CN"/>
              </w:rPr>
              <w:t>、</w:t>
            </w:r>
            <w:r>
              <w:rPr>
                <w:rFonts w:hint="default"/>
              </w:rPr>
              <w:t>玻璃量筒</w:t>
            </w:r>
            <w:r>
              <w:rPr>
                <w:rFonts w:hint="default"/>
                <w:lang w:eastAsia="zh-CN"/>
              </w:rPr>
              <w:t>、</w:t>
            </w:r>
            <w:r>
              <w:rPr>
                <w:rFonts w:hint="default"/>
              </w:rPr>
              <w:t>扭力扳手等监视测量设备。现有基础设施配备较充分、齐全，满足日常经营和管理体系的实施和改进需要。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rPr>
            </w:pPr>
            <w:r>
              <w:rPr>
                <w:rFonts w:hint="default"/>
              </w:rPr>
              <w:t>查</w:t>
            </w:r>
            <w:r>
              <w:rPr>
                <w:rFonts w:hint="eastAsia"/>
                <w:lang w:val="en-US" w:eastAsia="zh-CN"/>
              </w:rPr>
              <w:t>看</w:t>
            </w:r>
            <w:r>
              <w:rPr>
                <w:rFonts w:hint="default"/>
              </w:rPr>
              <w:t>“生产设备台账”、“监视测量设备台账”</w:t>
            </w:r>
            <w:r>
              <w:rPr>
                <w:rFonts w:hint="eastAsia"/>
                <w:lang w:eastAsia="zh-CN"/>
              </w:rPr>
              <w:t>“生产指令单”</w:t>
            </w:r>
            <w:r>
              <w:rPr>
                <w:rFonts w:hint="default"/>
              </w:rPr>
              <w:t>，明确了设备名称、型号、数量等。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default"/>
              </w:rPr>
              <w:t>企业提供的《设备维修管理》规定了设备维护保养、检修等控制要求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rPr>
              <w:t>查见“ 2021 年设备检修年度计划”，规定计划保养时间、设备、规格型号、保养人等内容。维修项目：</w:t>
            </w:r>
            <w:r>
              <w:rPr>
                <w:rFonts w:hint="eastAsia"/>
              </w:rPr>
              <w:t>表面清洗及电气线路和磨损零件检查</w:t>
            </w:r>
            <w:r>
              <w:rPr>
                <w:rFonts w:hint="eastAsia"/>
                <w:lang w:val="en-US" w:eastAsia="zh-CN"/>
              </w:rPr>
              <w:t>等</w:t>
            </w:r>
            <w:r>
              <w:rPr>
                <w:rFonts w:hint="default"/>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rPr>
            </w:pPr>
            <w:r>
              <w:rPr>
                <w:rFonts w:hint="default"/>
              </w:rPr>
              <w:t>查</w:t>
            </w:r>
            <w:r>
              <w:rPr>
                <w:rFonts w:hint="eastAsia"/>
                <w:lang w:val="en-US" w:eastAsia="zh-CN"/>
              </w:rPr>
              <w:t>看</w:t>
            </w:r>
            <w:r>
              <w:rPr>
                <w:rFonts w:hint="default"/>
              </w:rPr>
              <w:t>202</w:t>
            </w:r>
            <w:r>
              <w:rPr>
                <w:rFonts w:hint="eastAsia"/>
                <w:lang w:val="en-US" w:eastAsia="zh-CN"/>
              </w:rPr>
              <w:t>1</w:t>
            </w:r>
            <w:r>
              <w:rPr>
                <w:rFonts w:hint="default"/>
              </w:rPr>
              <w:t>年</w:t>
            </w:r>
            <w:r>
              <w:rPr>
                <w:rFonts w:hint="eastAsia"/>
                <w:lang w:val="en-US" w:eastAsia="zh-CN"/>
              </w:rPr>
              <w:t>6</w:t>
            </w:r>
            <w:r>
              <w:rPr>
                <w:rFonts w:hint="default"/>
              </w:rPr>
              <w:t>月</w:t>
            </w:r>
            <w:r>
              <w:rPr>
                <w:rFonts w:hint="eastAsia"/>
                <w:lang w:val="en-US" w:eastAsia="zh-CN"/>
              </w:rPr>
              <w:t>15</w:t>
            </w:r>
            <w:r>
              <w:rPr>
                <w:rFonts w:hint="default"/>
              </w:rPr>
              <w:t>日“设备保养、维修记录”。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default"/>
              </w:rPr>
              <w:t>抽查202</w:t>
            </w:r>
            <w:r>
              <w:rPr>
                <w:rFonts w:hint="eastAsia"/>
                <w:lang w:val="en-US" w:eastAsia="zh-CN"/>
              </w:rPr>
              <w:t>1</w:t>
            </w:r>
            <w:r>
              <w:rPr>
                <w:rFonts w:hint="default"/>
              </w:rPr>
              <w:t>.</w:t>
            </w:r>
            <w:r>
              <w:rPr>
                <w:rFonts w:hint="eastAsia"/>
                <w:lang w:val="en-US" w:eastAsia="zh-CN"/>
              </w:rPr>
              <w:t>6.15</w:t>
            </w:r>
            <w:r>
              <w:rPr>
                <w:rFonts w:hint="default"/>
              </w:rPr>
              <w:t>设备名称手电钻，</w:t>
            </w:r>
            <w:r>
              <w:rPr>
                <w:rFonts w:hint="eastAsia"/>
                <w:lang w:val="en-US" w:eastAsia="zh-CN"/>
              </w:rPr>
              <w:t>一级保养</w:t>
            </w:r>
            <w:r>
              <w:rPr>
                <w:rFonts w:hint="default"/>
              </w:rPr>
              <w:t>项目：表面清洗</w:t>
            </w:r>
            <w:r>
              <w:rPr>
                <w:rFonts w:hint="eastAsia"/>
                <w:lang w:eastAsia="zh-CN"/>
              </w:rPr>
              <w:t>、</w:t>
            </w:r>
            <w:r>
              <w:rPr>
                <w:rFonts w:hint="default"/>
              </w:rPr>
              <w:t>电气线路检查</w:t>
            </w:r>
            <w:r>
              <w:rPr>
                <w:rFonts w:hint="eastAsia"/>
                <w:lang w:eastAsia="zh-CN"/>
              </w:rPr>
              <w:t>、</w:t>
            </w:r>
            <w:r>
              <w:rPr>
                <w:rFonts w:hint="default"/>
              </w:rPr>
              <w:t>电气装置检查</w:t>
            </w:r>
            <w:r>
              <w:rPr>
                <w:rFonts w:hint="eastAsia"/>
                <w:lang w:eastAsia="zh-CN"/>
              </w:rPr>
              <w:t>、</w:t>
            </w:r>
            <w:r>
              <w:rPr>
                <w:rFonts w:hint="default"/>
              </w:rPr>
              <w:t>安全装置检查，管理人员谢学友</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default"/>
              </w:rPr>
              <w:t>抽查202</w:t>
            </w:r>
            <w:r>
              <w:rPr>
                <w:rFonts w:hint="eastAsia"/>
                <w:lang w:val="en-US" w:eastAsia="zh-CN"/>
              </w:rPr>
              <w:t>1</w:t>
            </w:r>
            <w:r>
              <w:rPr>
                <w:rFonts w:hint="default"/>
              </w:rPr>
              <w:t>.</w:t>
            </w:r>
            <w:r>
              <w:rPr>
                <w:rFonts w:hint="eastAsia"/>
                <w:lang w:val="en-US" w:eastAsia="zh-CN"/>
              </w:rPr>
              <w:t>6.15</w:t>
            </w:r>
            <w:r>
              <w:rPr>
                <w:rFonts w:hint="default"/>
              </w:rPr>
              <w:t>设备名称割管刀，</w:t>
            </w:r>
            <w:r>
              <w:rPr>
                <w:rFonts w:hint="eastAsia"/>
                <w:lang w:val="en-US" w:eastAsia="zh-CN"/>
              </w:rPr>
              <w:t>一级保养</w:t>
            </w:r>
            <w:r>
              <w:rPr>
                <w:rFonts w:hint="default"/>
              </w:rPr>
              <w:t>项目：表面清洗</w:t>
            </w:r>
            <w:r>
              <w:rPr>
                <w:rFonts w:hint="eastAsia"/>
                <w:lang w:eastAsia="zh-CN"/>
              </w:rPr>
              <w:t>、</w:t>
            </w:r>
            <w:r>
              <w:rPr>
                <w:rFonts w:hint="default"/>
              </w:rPr>
              <w:t>配合间隙检查</w:t>
            </w:r>
            <w:r>
              <w:rPr>
                <w:rFonts w:hint="eastAsia"/>
                <w:lang w:eastAsia="zh-CN"/>
              </w:rPr>
              <w:t>、</w:t>
            </w:r>
            <w:r>
              <w:rPr>
                <w:rFonts w:hint="default"/>
              </w:rPr>
              <w:t>传动带检查，管理人员谢学友</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default"/>
              </w:rPr>
              <w:t>抽查202</w:t>
            </w:r>
            <w:r>
              <w:rPr>
                <w:rFonts w:hint="eastAsia"/>
                <w:lang w:val="en-US" w:eastAsia="zh-CN"/>
              </w:rPr>
              <w:t>1</w:t>
            </w:r>
            <w:r>
              <w:rPr>
                <w:rFonts w:hint="default"/>
              </w:rPr>
              <w:t>.</w:t>
            </w:r>
            <w:r>
              <w:rPr>
                <w:rFonts w:hint="eastAsia"/>
                <w:lang w:val="en-US" w:eastAsia="zh-CN"/>
              </w:rPr>
              <w:t>6.15</w:t>
            </w:r>
            <w:r>
              <w:rPr>
                <w:rFonts w:hint="default"/>
              </w:rPr>
              <w:t>设备名称精密型台钻，</w:t>
            </w:r>
            <w:r>
              <w:rPr>
                <w:rFonts w:hint="eastAsia"/>
                <w:lang w:val="en-US" w:eastAsia="zh-CN"/>
              </w:rPr>
              <w:t>一级保养</w:t>
            </w:r>
            <w:r>
              <w:rPr>
                <w:rFonts w:hint="default"/>
              </w:rPr>
              <w:t>项目：表面清洗</w:t>
            </w:r>
            <w:r>
              <w:rPr>
                <w:rFonts w:hint="eastAsia"/>
                <w:lang w:eastAsia="zh-CN"/>
              </w:rPr>
              <w:t>、</w:t>
            </w:r>
            <w:r>
              <w:rPr>
                <w:rFonts w:hint="default"/>
              </w:rPr>
              <w:t>配合间隙检查</w:t>
            </w:r>
            <w:r>
              <w:rPr>
                <w:rFonts w:hint="eastAsia"/>
                <w:lang w:eastAsia="zh-CN"/>
              </w:rPr>
              <w:t>、</w:t>
            </w:r>
            <w:r>
              <w:rPr>
                <w:rFonts w:hint="default"/>
              </w:rPr>
              <w:t>传动带检查，管理人员谢学友</w:t>
            </w:r>
            <w:r>
              <w:rPr>
                <w:rFonts w:hint="eastAsia"/>
                <w:lang w:eastAsia="zh-CN"/>
              </w:rPr>
              <w:t>。</w:t>
            </w:r>
          </w:p>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rPr>
            </w:pPr>
            <w:r>
              <w:rPr>
                <w:rFonts w:hint="eastAsia"/>
                <w:lang w:val="en-US" w:eastAsia="zh-CN"/>
              </w:rPr>
              <w:t>现场查看</w:t>
            </w:r>
            <w:r>
              <w:rPr>
                <w:rFonts w:hint="default"/>
              </w:rPr>
              <w:t>上述生产设备辅助设备运行状态正常。</w:t>
            </w:r>
          </w:p>
          <w:p>
            <w:pPr>
              <w:pStyle w:val="5"/>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default" w:eastAsia="宋体"/>
                <w:lang w:val="en-US" w:eastAsia="zh-CN"/>
              </w:rPr>
            </w:pPr>
            <w:r>
              <w:rPr>
                <w:rFonts w:hint="eastAsia" w:ascii="Times New Roman" w:hAnsi="Times New Roman" w:eastAsia="宋体" w:cs="Times New Roman"/>
                <w:color w:val="auto"/>
                <w:kern w:val="2"/>
                <w:sz w:val="21"/>
                <w:szCs w:val="20"/>
                <w:lang w:val="en-US" w:eastAsia="zh-CN" w:bidi="ar-SA"/>
              </w:rPr>
              <w:t>无特种设备。</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rPr>
            </w:pPr>
            <w:r>
              <w:rPr>
                <w:rFonts w:hint="default" w:ascii="Times New Roman" w:hAnsi="Times New Roman" w:cs="Times New Roman"/>
              </w:rPr>
              <w:t>Y</w:t>
            </w: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过程运行环境</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 xml:space="preserve">Q7.1.4 </w:t>
            </w:r>
          </w:p>
        </w:tc>
        <w:tc>
          <w:tcPr>
            <w:tcW w:w="11538"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查公司办公面积适宜；车间</w:t>
            </w:r>
            <w:r>
              <w:rPr>
                <w:rFonts w:hint="eastAsia" w:cs="Times New Roman"/>
                <w:lang w:val="en-US" w:eastAsia="zh-CN"/>
              </w:rPr>
              <w:t>面积约200平米，</w:t>
            </w:r>
            <w:r>
              <w:rPr>
                <w:rFonts w:hint="default" w:ascii="Times New Roman" w:hAnsi="Times New Roman" w:cs="Times New Roman"/>
              </w:rPr>
              <w:t>布局基本合理，空间较宽敞</w:t>
            </w:r>
            <w:r>
              <w:rPr>
                <w:rFonts w:hint="eastAsia" w:cs="Times New Roman"/>
                <w:lang w:eastAsia="zh-CN"/>
              </w:rPr>
              <w:t>；</w:t>
            </w:r>
            <w:r>
              <w:rPr>
                <w:rFonts w:hint="eastAsia" w:cs="Times New Roman"/>
                <w:lang w:val="en-US" w:eastAsia="zh-CN"/>
              </w:rPr>
              <w:t>工器具、材料放置整齐</w:t>
            </w:r>
            <w:r>
              <w:rPr>
                <w:rFonts w:hint="default" w:ascii="Times New Roman" w:hAnsi="Times New Roman" w:cs="Times New Roman"/>
              </w:rPr>
              <w:t>，</w:t>
            </w:r>
            <w:r>
              <w:rPr>
                <w:rFonts w:hint="eastAsia" w:cs="Times New Roman"/>
                <w:lang w:val="en-US" w:eastAsia="zh-CN"/>
              </w:rPr>
              <w:t>现场</w:t>
            </w:r>
            <w:r>
              <w:rPr>
                <w:rFonts w:hint="default" w:ascii="Times New Roman" w:hAnsi="Times New Roman" w:cs="Times New Roman"/>
              </w:rPr>
              <w:t>巡视发现车间现场、仓库等区域/场所有按规定要求配备灭火器、安全通道畅通，操作工按章作业，生产秩序良好。车间现场工作环境基本满足要求。过程运行环境基本满足要求。</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运行策划和控制</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eastAsia" w:ascii="Times New Roman" w:hAnsi="Times New Roman" w:cs="Times New Roman"/>
                <w:szCs w:val="21"/>
                <w:lang w:eastAsia="zh-CN"/>
              </w:rPr>
              <w:t>Q</w:t>
            </w:r>
            <w:r>
              <w:rPr>
                <w:rFonts w:hint="default" w:ascii="Times New Roman" w:hAnsi="Times New Roman" w:cs="Times New Roman"/>
                <w:szCs w:val="21"/>
              </w:rPr>
              <w:t xml:space="preserve">8.1 </w:t>
            </w:r>
          </w:p>
        </w:tc>
        <w:tc>
          <w:tcPr>
            <w:tcW w:w="11538" w:type="dxa"/>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lang w:val="en-US" w:eastAsia="zh-CN"/>
              </w:rPr>
            </w:pPr>
            <w:r>
              <w:rPr>
                <w:rFonts w:hint="default"/>
                <w:lang w:val="en-US" w:eastAsia="zh-CN"/>
              </w:rPr>
              <w:t>组织通过采取下列措施，策划、实施、控制并满足质量管理体系要求及服务要求所需的各个过程，并实施经风险和机遇识别确定了相应的措施：</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0" w:firstLineChars="200"/>
              <w:textAlignment w:val="auto"/>
              <w:rPr>
                <w:rFonts w:hint="default"/>
                <w:lang w:val="en-US" w:eastAsia="zh-CN"/>
              </w:rPr>
            </w:pPr>
            <w:r>
              <w:rPr>
                <w:rFonts w:hint="default"/>
                <w:lang w:val="en-US" w:eastAsia="zh-CN"/>
              </w:rPr>
              <w:t>确定各类主要</w:t>
            </w:r>
            <w:r>
              <w:rPr>
                <w:rFonts w:hint="eastAsia"/>
                <w:lang w:val="en-US" w:eastAsia="zh-CN"/>
              </w:rPr>
              <w:t>生产</w:t>
            </w:r>
            <w:r>
              <w:rPr>
                <w:rFonts w:hint="default"/>
                <w:lang w:val="en-US" w:eastAsia="zh-CN"/>
              </w:rPr>
              <w:t>服务要求的国家标准和行业标准，如钢制管壳式换热器（GB151-1999）</w:t>
            </w:r>
            <w:r>
              <w:rPr>
                <w:rFonts w:hint="eastAsia"/>
                <w:lang w:val="en-US" w:eastAsia="zh-CN"/>
              </w:rPr>
              <w:t xml:space="preserve">、钢制管壳式换热器（GB151-1999） </w:t>
            </w:r>
            <w:r>
              <w:rPr>
                <w:rFonts w:hint="default"/>
                <w:lang w:val="en-US" w:eastAsia="zh-CN"/>
              </w:rPr>
              <w:t>等；</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建立下列内容的准则：1）</w:t>
            </w:r>
            <w:r>
              <w:rPr>
                <w:rFonts w:hint="eastAsia" w:ascii="Times New Roman" w:hAnsi="Times New Roman" w:cs="Times New Roman"/>
                <w:lang w:val="en-US" w:eastAsia="zh-CN"/>
              </w:rPr>
              <w:t>人员</w:t>
            </w:r>
            <w:r>
              <w:rPr>
                <w:rFonts w:hint="default" w:ascii="Times New Roman" w:hAnsi="Times New Roman" w:cs="Times New Roman"/>
                <w:lang w:val="en-US" w:eastAsia="zh-CN"/>
              </w:rPr>
              <w:t>管理、</w:t>
            </w:r>
            <w:r>
              <w:rPr>
                <w:rFonts w:hint="eastAsia" w:ascii="Times New Roman" w:hAnsi="Times New Roman" w:cs="Times New Roman"/>
                <w:lang w:val="en-US" w:eastAsia="zh-CN"/>
              </w:rPr>
              <w:t>生产</w:t>
            </w:r>
            <w:r>
              <w:rPr>
                <w:rFonts w:hint="default" w:ascii="Times New Roman" w:hAnsi="Times New Roman" w:cs="Times New Roman"/>
                <w:lang w:val="en-US" w:eastAsia="zh-CN"/>
              </w:rPr>
              <w:t>过程、设施设备、采购过程管理过程，并形成相应的程序文件或规范；2）</w:t>
            </w:r>
            <w:r>
              <w:rPr>
                <w:rFonts w:hint="eastAsia" w:ascii="Times New Roman" w:hAnsi="Times New Roman" w:cs="Times New Roman"/>
                <w:lang w:val="en-US" w:eastAsia="zh-CN"/>
              </w:rPr>
              <w:t>产品的放行</w:t>
            </w:r>
            <w:r>
              <w:rPr>
                <w:rFonts w:hint="default" w:ascii="Times New Roman" w:hAnsi="Times New Roman" w:cs="Times New Roman"/>
                <w:lang w:val="en-US" w:eastAsia="zh-CN"/>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公司为产品实现提供了充足的资源，如：设备、人员、工厂车间、物料等。包括各类检测设备见7.1.3/7.1.5条款、检测环境见7.1.4条款、各项人员要求见7.1.2条款等；按照准则实施过程控制，控制可包括产品控制和程序控制； 控制可按层级（例如： 消除、替代、管理）实施，并可单独使用或结合使用；</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在需要的范围和程度上，确定并保持、保留形成文件的信息：  1）证实过程已经按策划进行；2）证明</w:t>
            </w:r>
            <w:r>
              <w:rPr>
                <w:rFonts w:hint="eastAsia" w:ascii="Times New Roman" w:hAnsi="Times New Roman" w:cs="Times New Roman"/>
                <w:lang w:val="en-US" w:eastAsia="zh-CN"/>
              </w:rPr>
              <w:t>过程</w:t>
            </w:r>
            <w:r>
              <w:rPr>
                <w:rFonts w:hint="default" w:ascii="Times New Roman" w:hAnsi="Times New Roman" w:cs="Times New Roman"/>
                <w:lang w:val="en-US" w:eastAsia="zh-CN"/>
              </w:rPr>
              <w:t>符合要求。公司的生产和服务过程主要为</w:t>
            </w:r>
            <w:bookmarkStart w:id="0" w:name="审核范围"/>
            <w:r>
              <w:rPr>
                <w:rFonts w:hint="default" w:ascii="Times New Roman" w:hAnsi="Times New Roman" w:cs="Times New Roman"/>
                <w:lang w:val="en-US" w:eastAsia="zh-CN"/>
              </w:rPr>
              <w:t>微反应器和微换热器的研发、制造</w:t>
            </w:r>
            <w:bookmarkEnd w:id="0"/>
            <w:r>
              <w:rPr>
                <w:rFonts w:hint="default" w:ascii="Times New Roman" w:hAnsi="Times New Roman" w:cs="Times New Roman"/>
                <w:lang w:val="en-US" w:eastAsia="zh-CN"/>
              </w:rPr>
              <w:t>，并为此策划了产品检测相关的程序和作业规程。按编制的《检验标准.》、《微反应器产品装配作业指导书》、《微反应器测试作业指导书》、《生产现场管理制度》</w:t>
            </w:r>
            <w:r>
              <w:rPr>
                <w:rFonts w:hint="eastAsia" w:ascii="Times New Roman" w:hAnsi="Times New Roman" w:cs="Times New Roman"/>
                <w:lang w:val="en-US" w:eastAsia="zh-CN"/>
              </w:rPr>
              <w:t>、《计量器具校准规程》</w:t>
            </w:r>
            <w:r>
              <w:rPr>
                <w:rFonts w:hint="default" w:ascii="Times New Roman" w:hAnsi="Times New Roman" w:cs="Times New Roman"/>
                <w:lang w:val="en-US" w:eastAsia="zh-CN"/>
              </w:rPr>
              <w:t>等控制程序和管理制度实施。为提供证据公司确定了有关服务实现的记录，</w:t>
            </w:r>
            <w:r>
              <w:rPr>
                <w:rFonts w:hint="default" w:ascii="Times New Roman" w:hAnsi="Times New Roman" w:cs="Times New Roman"/>
                <w:highlight w:val="none"/>
                <w:lang w:val="en-US" w:eastAsia="zh-CN"/>
              </w:rPr>
              <w:t>如</w:t>
            </w:r>
            <w:r>
              <w:rPr>
                <w:rFonts w:hint="eastAsia" w:ascii="Times New Roman" w:hAnsi="Times New Roman" w:cs="Times New Roman"/>
                <w:highlight w:val="none"/>
                <w:lang w:val="en-US" w:eastAsia="zh-CN"/>
              </w:rPr>
              <w:t>成品检验记录、原材料检验记录、生产指令单</w:t>
            </w:r>
            <w:r>
              <w:rPr>
                <w:rFonts w:hint="default" w:ascii="Times New Roman" w:hAnsi="Times New Roman" w:cs="Times New Roman"/>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lang w:val="en-US" w:eastAsia="zh-CN"/>
              </w:rPr>
            </w:pPr>
            <w:r>
              <w:rPr>
                <w:rFonts w:hint="eastAsia"/>
                <w:lang w:val="en-US" w:eastAsia="zh-CN"/>
              </w:rPr>
              <w:t>生产工艺流程：</w:t>
            </w:r>
            <w:r>
              <w:rPr>
                <w:rFonts w:hint="default"/>
                <w:lang w:val="en-US" w:eastAsia="zh-CN"/>
              </w:rPr>
              <w:t>物料准备→激光切割、焊接、结构件加工（外协）→整机组装→测试合格→出库</w:t>
            </w:r>
          </w:p>
          <w:p>
            <w:pPr>
              <w:spacing w:before="93" w:beforeLines="30" w:after="93" w:afterLines="30"/>
              <w:ind w:firstLine="420" w:firstLineChars="200"/>
              <w:rPr>
                <w:rFonts w:hint="default"/>
                <w:lang w:val="en-US" w:eastAsia="zh-CN"/>
              </w:rPr>
            </w:pPr>
            <w:r>
              <w:rPr>
                <w:rFonts w:hint="eastAsia"/>
                <w:highlight w:val="none"/>
              </w:rPr>
              <w:t>经识别，</w:t>
            </w:r>
            <w:r>
              <w:rPr>
                <w:rFonts w:hint="eastAsia"/>
                <w:highlight w:val="none"/>
                <w:lang w:val="en-US" w:eastAsia="zh-CN"/>
              </w:rPr>
              <w:t>外包过程：</w:t>
            </w:r>
            <w:r>
              <w:rPr>
                <w:rFonts w:hint="default"/>
                <w:lang w:val="en-US" w:eastAsia="zh-CN"/>
              </w:rPr>
              <w:t>激光切割、焊接、结构件加工</w:t>
            </w:r>
            <w:r>
              <w:rPr>
                <w:rFonts w:hint="eastAsia"/>
                <w:highlight w:val="none"/>
                <w:lang w:val="en-US" w:eastAsia="zh-CN"/>
              </w:rPr>
              <w:t>外包，提供有外包委托协议。详见附件资料。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rPr>
            </w:pPr>
            <w:r>
              <w:rPr>
                <w:rFonts w:hint="default"/>
              </w:rPr>
              <w:t>与部门负责人沟通，在产品实现过程中，当生产工艺、条件、环境或人员等因素发生变化，对产品质量有影响或不满足顾客要求时，</w:t>
            </w:r>
            <w:r>
              <w:rPr>
                <w:rFonts w:hint="default"/>
                <w:lang w:eastAsia="zh-CN"/>
              </w:rPr>
              <w:t>设备制造部</w:t>
            </w:r>
            <w:r>
              <w:rPr>
                <w:rFonts w:hint="default"/>
              </w:rPr>
              <w:t>根据实际情况组织</w:t>
            </w:r>
            <w:r>
              <w:rPr>
                <w:rFonts w:hint="eastAsia"/>
                <w:lang w:val="en-US" w:eastAsia="zh-CN"/>
              </w:rPr>
              <w:t>技术品管部</w:t>
            </w:r>
            <w:r>
              <w:rPr>
                <w:rFonts w:hint="default"/>
              </w:rPr>
              <w:t>、</w:t>
            </w:r>
            <w:r>
              <w:rPr>
                <w:rFonts w:hint="eastAsia"/>
                <w:lang w:val="en-US" w:eastAsia="zh-CN"/>
              </w:rPr>
              <w:t>综合部、工艺开发部</w:t>
            </w:r>
            <w:r>
              <w:rPr>
                <w:rFonts w:hint="default"/>
              </w:rPr>
              <w:t>负责人员商议生产更改事项，将结果及时通报相关部门。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rPr>
            </w:pPr>
            <w:r>
              <w:rPr>
                <w:rFonts w:hint="default"/>
              </w:rPr>
              <w:t xml:space="preserve">目前暂无更改情况。整个策划的输出基本适合检测运行需要。运行策划在评价周期内未发生变更。 </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生产和服务提供的控制</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Q8.5.1</w:t>
            </w:r>
          </w:p>
        </w:tc>
        <w:tc>
          <w:tcPr>
            <w:tcW w:w="1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组织在手册中规定了生产服务的具体控制要求，符合标准要求。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公司目前从事的是</w:t>
            </w:r>
            <w:r>
              <w:rPr>
                <w:sz w:val="20"/>
              </w:rPr>
              <w:t>微反应器和微换热器的研发、制造</w:t>
            </w:r>
            <w:r>
              <w:rPr>
                <w:rFonts w:hint="default" w:ascii="Times New Roman" w:hAnsi="Times New Roman" w:cs="Times New Roman"/>
              </w:rPr>
              <w:t>，通常依据客户的订</w:t>
            </w:r>
            <w:r>
              <w:rPr>
                <w:rFonts w:hint="eastAsia" w:cs="Times New Roman"/>
                <w:lang w:val="en-US" w:eastAsia="zh-CN"/>
              </w:rPr>
              <w:t>需求</w:t>
            </w:r>
            <w:r>
              <w:rPr>
                <w:rFonts w:hint="default" w:ascii="Times New Roman" w:hAnsi="Times New Roman" w:cs="Times New Roman"/>
              </w:rPr>
              <w:t>来确定</w:t>
            </w:r>
            <w:r>
              <w:rPr>
                <w:sz w:val="20"/>
              </w:rPr>
              <w:t>微反应器和微换热器的研发、制造</w:t>
            </w:r>
            <w:r>
              <w:rPr>
                <w:rFonts w:hint="default" w:ascii="Times New Roman" w:hAnsi="Times New Roman" w:cs="Times New Roman"/>
              </w:rPr>
              <w:t>的数量、规格、型号、交货期，从而控制生产和销售的有序进行。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rPr>
            </w:pPr>
            <w:r>
              <w:rPr>
                <w:rFonts w:hint="default" w:ascii="Times New Roman" w:hAnsi="Times New Roman" w:cs="Times New Roman"/>
              </w:rPr>
              <w:t>生产工艺流程：</w:t>
            </w:r>
            <w:r>
              <w:rPr>
                <w:rFonts w:hint="default"/>
                <w:lang w:val="en-US" w:eastAsia="zh-CN"/>
              </w:rPr>
              <w:t>物料准备→激光切割、焊接、结构件加工（外协）→整机组装→测试合格→出库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a) 组织通过客户订单要求、产品型号、产品标准描述产品特性，生产车间通过下达的生产计划获得表述产品特性的信息。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b) 组织编制了产品的作业指导书等文件，文件中描述了各工序的工艺内容和控制指标，作为操作人员的作业指南。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cs="Times New Roman"/>
                <w:highlight w:val="none"/>
                <w:lang w:val="en-US" w:eastAsia="zh-CN"/>
              </w:rPr>
            </w:pPr>
            <w:r>
              <w:rPr>
                <w:rFonts w:hint="default" w:ascii="Times New Roman" w:hAnsi="Times New Roman" w:cs="Times New Roman"/>
              </w:rPr>
              <w:t>c) 组织为生产配备了适宜的生产设备</w:t>
            </w:r>
            <w:r>
              <w:rPr>
                <w:rFonts w:hint="default" w:ascii="Times New Roman" w:hAnsi="Times New Roman" w:cs="Times New Roman"/>
                <w:highlight w:val="none"/>
              </w:rPr>
              <w:t>：弯管器、精密型台钻、光纤激光打标机、移动梯子、手推车、液压车柱塞泵、</w:t>
            </w:r>
            <w:r>
              <w:rPr>
                <w:rFonts w:hint="eastAsia" w:cs="Times New Roman"/>
                <w:highlight w:val="none"/>
                <w:lang w:val="en-US" w:eastAsia="zh-CN"/>
              </w:rPr>
              <w:t>手电钻、活络扳手。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d) 组织为各工序配备了游标卡尺、玻璃量筒、扭力扳手等监视测量设备。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e) 组织对生产过程和产品实施了监视和测量，并作了相应记录。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 xml:space="preserve">f) </w:t>
            </w:r>
            <w:r>
              <w:rPr>
                <w:rFonts w:hint="eastAsia" w:cs="Times New Roman"/>
                <w:lang w:val="en-US" w:eastAsia="zh-CN"/>
              </w:rPr>
              <w:t>技术品管部</w:t>
            </w:r>
            <w:r>
              <w:rPr>
                <w:rFonts w:hint="default" w:ascii="Times New Roman" w:hAnsi="Times New Roman" w:cs="Times New Roman"/>
              </w:rPr>
              <w:t>负责对产品的放行，</w:t>
            </w:r>
            <w:r>
              <w:rPr>
                <w:rFonts w:hint="eastAsia" w:cs="Times New Roman"/>
                <w:lang w:val="en-US" w:eastAsia="zh-CN"/>
              </w:rPr>
              <w:t>综合部</w:t>
            </w:r>
            <w:r>
              <w:rPr>
                <w:rFonts w:hint="default" w:ascii="Times New Roman" w:hAnsi="Times New Roman" w:cs="Times New Roman"/>
              </w:rPr>
              <w:t>负责产品交付和交付后活动的实施。需要售后服务时由</w:t>
            </w:r>
            <w:r>
              <w:rPr>
                <w:rFonts w:hint="eastAsia" w:cs="Times New Roman"/>
                <w:lang w:val="en-US" w:eastAsia="zh-CN"/>
              </w:rPr>
              <w:t>综合</w:t>
            </w:r>
            <w:r>
              <w:rPr>
                <w:rFonts w:hint="default" w:ascii="Times New Roman" w:hAnsi="Times New Roman" w:cs="Times New Roman"/>
              </w:rPr>
              <w:t>部负责联系售后服务工作。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g）为生产过程配备了必要的人员，</w:t>
            </w:r>
            <w:r>
              <w:rPr>
                <w:rFonts w:hint="default" w:ascii="Times New Roman" w:hAnsi="Times New Roman" w:cs="Times New Roman"/>
                <w:highlight w:val="none"/>
              </w:rPr>
              <w:t>无特种设备操作人员。</w:t>
            </w:r>
          </w:p>
          <w:p>
            <w:pPr>
              <w:keepNext w:val="0"/>
              <w:keepLines w:val="0"/>
              <w:pageBreakBefore w:val="0"/>
              <w:widowControl w:val="0"/>
              <w:tabs>
                <w:tab w:val="left" w:pos="1780"/>
              </w:tabs>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rPr>
            </w:pPr>
            <w:r>
              <w:rPr>
                <w:rFonts w:hint="default" w:ascii="Times New Roman" w:hAnsi="Times New Roman" w:cs="Times New Roman"/>
                <w:lang w:val="en-US" w:eastAsia="zh-CN"/>
              </w:rPr>
              <w:t>现场</w:t>
            </w:r>
            <w:r>
              <w:rPr>
                <w:rFonts w:hint="eastAsia" w:cs="Times New Roman"/>
                <w:lang w:val="en-US" w:eastAsia="zh-CN"/>
              </w:rPr>
              <w:t>查看及询问</w:t>
            </w:r>
            <w:r>
              <w:rPr>
                <w:rFonts w:hint="eastAsia"/>
                <w:sz w:val="20"/>
              </w:rPr>
              <w:t>微反应器产品装配</w:t>
            </w:r>
            <w:r>
              <w:rPr>
                <w:rFonts w:hint="eastAsia"/>
                <w:sz w:val="20"/>
                <w:lang w:val="en-US" w:eastAsia="zh-CN"/>
              </w:rPr>
              <w:t>过程与作业指导书一一致</w:t>
            </w:r>
            <w:r>
              <w:rPr>
                <w:rFonts w:hint="eastAsia" w:cs="Times New Roman"/>
                <w:lang w:val="en-US" w:eastAsia="zh-CN"/>
              </w:rPr>
              <w:t>：现场操作人员确认将板材、焊接管在</w:t>
            </w:r>
            <w:r>
              <w:rPr>
                <w:rFonts w:hint="default" w:ascii="Times New Roman" w:hAnsi="Times New Roman" w:cs="Times New Roman"/>
              </w:rPr>
              <w:t>反应器固定</w:t>
            </w:r>
            <w:r>
              <w:rPr>
                <w:rFonts w:hint="eastAsia" w:cs="Times New Roman"/>
                <w:lang w:val="en-US" w:eastAsia="zh-CN"/>
              </w:rPr>
              <w:t>上</w:t>
            </w:r>
            <w:r>
              <w:rPr>
                <w:rFonts w:hint="eastAsia" w:cs="Times New Roman"/>
                <w:lang w:eastAsia="zh-CN"/>
              </w:rPr>
              <w:t>，</w:t>
            </w:r>
            <w:r>
              <w:rPr>
                <w:rFonts w:hint="eastAsia" w:cs="Times New Roman"/>
                <w:lang w:val="en-US" w:eastAsia="zh-CN"/>
              </w:rPr>
              <w:t>确认</w:t>
            </w:r>
            <w:r>
              <w:rPr>
                <w:rFonts w:hint="default" w:ascii="Times New Roman" w:hAnsi="Times New Roman" w:cs="Times New Roman"/>
              </w:rPr>
              <w:t>进出料管路铺设</w:t>
            </w:r>
            <w:r>
              <w:rPr>
                <w:rFonts w:hint="eastAsia" w:cs="Times New Roman"/>
                <w:lang w:eastAsia="zh-CN"/>
              </w:rPr>
              <w:t>，</w:t>
            </w:r>
            <w:r>
              <w:rPr>
                <w:rFonts w:hint="eastAsia" w:cs="Times New Roman"/>
                <w:lang w:val="en-US" w:eastAsia="zh-CN"/>
              </w:rPr>
              <w:t>打开</w:t>
            </w:r>
            <w:r>
              <w:rPr>
                <w:rFonts w:hint="default" w:ascii="Times New Roman" w:hAnsi="Times New Roman" w:cs="Times New Roman"/>
              </w:rPr>
              <w:t>送料单元连接</w:t>
            </w:r>
            <w:r>
              <w:rPr>
                <w:rFonts w:hint="eastAsia" w:cs="Times New Roman"/>
                <w:lang w:eastAsia="zh-CN"/>
              </w:rPr>
              <w:t>，</w:t>
            </w:r>
            <w:r>
              <w:rPr>
                <w:rFonts w:hint="default" w:ascii="Times New Roman" w:hAnsi="Times New Roman" w:cs="Times New Roman"/>
              </w:rPr>
              <w:t>加热、冷却管路铺设</w:t>
            </w:r>
            <w:r>
              <w:rPr>
                <w:rFonts w:hint="eastAsia" w:cs="Times New Roman"/>
                <w:lang w:eastAsia="zh-CN"/>
              </w:rPr>
              <w:t>，</w:t>
            </w:r>
            <w:r>
              <w:rPr>
                <w:rFonts w:hint="default" w:ascii="Times New Roman" w:hAnsi="Times New Roman" w:cs="Times New Roman"/>
              </w:rPr>
              <w:t>加热、冷却连接</w:t>
            </w:r>
            <w:r>
              <w:rPr>
                <w:rFonts w:hint="eastAsia" w:cs="Times New Roman"/>
                <w:lang w:eastAsia="zh-CN"/>
              </w:rPr>
              <w:t>，</w:t>
            </w:r>
            <w:r>
              <w:rPr>
                <w:rFonts w:hint="default" w:ascii="Times New Roman" w:hAnsi="Times New Roman" w:cs="Times New Roman"/>
              </w:rPr>
              <w:t>管路防爆器安装</w:t>
            </w:r>
            <w:r>
              <w:rPr>
                <w:rFonts w:hint="eastAsia" w:cs="Times New Roman"/>
                <w:lang w:eastAsia="zh-CN"/>
              </w:rPr>
              <w:t>，</w:t>
            </w:r>
            <w:r>
              <w:rPr>
                <w:rFonts w:hint="default" w:ascii="Times New Roman" w:hAnsi="Times New Roman" w:cs="Times New Roman"/>
              </w:rPr>
              <w:t>自动控制系统安装</w:t>
            </w:r>
            <w:r>
              <w:rPr>
                <w:rFonts w:hint="eastAsia" w:cs="Times New Roman"/>
                <w:lang w:eastAsia="zh-CN"/>
              </w:rPr>
              <w:t>，</w:t>
            </w:r>
            <w:r>
              <w:rPr>
                <w:rFonts w:hint="default" w:ascii="Times New Roman" w:hAnsi="Times New Roman" w:cs="Times New Roman"/>
              </w:rPr>
              <w:t>保温措施安装</w:t>
            </w:r>
            <w:r>
              <w:rPr>
                <w:rFonts w:hint="eastAsia" w:cs="Times New Roman"/>
                <w:lang w:eastAsia="zh-CN"/>
              </w:rPr>
              <w:t>。</w:t>
            </w:r>
            <w:r>
              <w:rPr>
                <w:rFonts w:hint="default" w:ascii="Times New Roman" w:hAnsi="Times New Roman" w:cs="Times New Roman"/>
              </w:rPr>
              <w:tab/>
            </w:r>
          </w:p>
          <w:p>
            <w:pPr>
              <w:keepNext w:val="0"/>
              <w:keepLines w:val="0"/>
              <w:pageBreakBefore w:val="0"/>
              <w:widowControl w:val="0"/>
              <w:tabs>
                <w:tab w:val="left" w:pos="1780"/>
              </w:tabs>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rPr>
            </w:pPr>
            <w:r>
              <w:rPr>
                <w:rFonts w:hint="default" w:ascii="Times New Roman" w:hAnsi="Times New Roman" w:cs="Times New Roman"/>
                <w:lang w:val="en-US" w:eastAsia="zh-CN"/>
              </w:rPr>
              <w:t>现场</w:t>
            </w:r>
            <w:r>
              <w:rPr>
                <w:rFonts w:hint="eastAsia" w:cs="Times New Roman"/>
                <w:lang w:val="en-US" w:eastAsia="zh-CN"/>
              </w:rPr>
              <w:t>查看及询问</w:t>
            </w:r>
            <w:r>
              <w:rPr>
                <w:rFonts w:hint="eastAsia"/>
                <w:sz w:val="20"/>
              </w:rPr>
              <w:t>微反应器测试</w:t>
            </w:r>
            <w:r>
              <w:rPr>
                <w:rFonts w:hint="eastAsia"/>
                <w:sz w:val="20"/>
                <w:lang w:val="en-US" w:eastAsia="zh-CN"/>
              </w:rPr>
              <w:t>过程与作业指导书一致</w:t>
            </w:r>
            <w:r>
              <w:rPr>
                <w:rFonts w:hint="default" w:ascii="Times New Roman" w:hAnsi="Times New Roman" w:cs="Times New Roman"/>
              </w:rPr>
              <w:t>：</w:t>
            </w:r>
            <w:r>
              <w:rPr>
                <w:rFonts w:hint="eastAsia" w:cs="Times New Roman"/>
                <w:lang w:val="en-US" w:eastAsia="zh-CN"/>
              </w:rPr>
              <w:t>现场操作人员即将产品连接电路打开测试系统，</w:t>
            </w:r>
            <w:r>
              <w:rPr>
                <w:rFonts w:hint="default" w:ascii="Times New Roman" w:hAnsi="Times New Roman" w:cs="Times New Roman"/>
              </w:rPr>
              <w:t>反应器管路、流量、压力检测</w:t>
            </w:r>
            <w:r>
              <w:rPr>
                <w:rFonts w:hint="eastAsia" w:cs="Times New Roman"/>
                <w:lang w:eastAsia="zh-CN"/>
              </w:rPr>
              <w:t>，</w:t>
            </w:r>
            <w:r>
              <w:rPr>
                <w:rFonts w:hint="default" w:ascii="Times New Roman" w:hAnsi="Times New Roman" w:cs="Times New Roman"/>
              </w:rPr>
              <w:t>温控管路的流量、压力检测</w:t>
            </w:r>
            <w:r>
              <w:rPr>
                <w:rFonts w:hint="eastAsia" w:cs="Times New Roman"/>
                <w:lang w:eastAsia="zh-CN"/>
              </w:rPr>
              <w:t>，</w:t>
            </w:r>
            <w:r>
              <w:rPr>
                <w:rFonts w:hint="default" w:ascii="Times New Roman" w:hAnsi="Times New Roman" w:cs="Times New Roman"/>
              </w:rPr>
              <w:t>各种阀门的行为和指标检测</w:t>
            </w:r>
            <w:r>
              <w:rPr>
                <w:rFonts w:hint="eastAsia" w:cs="Times New Roman"/>
                <w:lang w:eastAsia="zh-CN"/>
              </w:rPr>
              <w:t>，</w:t>
            </w:r>
            <w:r>
              <w:rPr>
                <w:rFonts w:hint="default" w:ascii="Times New Roman" w:hAnsi="Times New Roman" w:cs="Times New Roman"/>
              </w:rPr>
              <w:t>自动化联动测试</w:t>
            </w:r>
            <w:r>
              <w:rPr>
                <w:rFonts w:hint="eastAsia" w:cs="Times New Roman"/>
                <w:lang w:eastAsia="zh-CN"/>
              </w:rPr>
              <w:t>，</w:t>
            </w:r>
            <w:r>
              <w:rPr>
                <w:rFonts w:hint="default" w:ascii="Times New Roman" w:hAnsi="Times New Roman" w:cs="Times New Roman"/>
              </w:rPr>
              <w:t>各种警报装置检测</w:t>
            </w:r>
            <w:r>
              <w:rPr>
                <w:rFonts w:hint="eastAsia" w:cs="Times New Roman"/>
                <w:lang w:eastAsia="zh-CN"/>
              </w:rPr>
              <w:t>。</w:t>
            </w:r>
            <w:r>
              <w:rPr>
                <w:rFonts w:hint="default" w:ascii="Times New Roman" w:hAnsi="Times New Roman" w:cs="Times New Roman"/>
              </w:rPr>
              <w:tab/>
            </w:r>
            <w:r>
              <w:rPr>
                <w:rFonts w:hint="default" w:ascii="Times New Roman" w:hAnsi="Times New Roman" w:cs="Times New Roman"/>
              </w:rPr>
              <w:tab/>
            </w:r>
          </w:p>
          <w:p>
            <w:pPr>
              <w:keepNext w:val="0"/>
              <w:keepLines w:val="0"/>
              <w:pageBreakBefore w:val="0"/>
              <w:widowControl w:val="0"/>
              <w:tabs>
                <w:tab w:val="left" w:pos="1780"/>
              </w:tabs>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rPr>
              <w:t>以上工序操作均符合操作文件要求。</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rPr>
            </w:pPr>
            <w:r>
              <w:rPr>
                <w:rFonts w:hint="default" w:ascii="Times New Roman" w:hAnsi="Times New Roman" w:cs="Times New Roman"/>
              </w:rPr>
              <w:t>Y</w:t>
            </w: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p>
          <w:p>
            <w:pPr>
              <w:pStyle w:val="2"/>
              <w:keepNext w:val="0"/>
              <w:keepLines w:val="0"/>
              <w:pageBreakBefore w:val="0"/>
              <w:kinsoku/>
              <w:wordWrap/>
              <w:overflowPunct/>
              <w:topLinePunct w:val="0"/>
              <w:bidi w:val="0"/>
              <w:ind w:left="0" w:leftChars="0" w:firstLine="0" w:firstLineChars="0"/>
              <w:textAlignment w:val="auto"/>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标识和可追溯性/防护</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Q</w:t>
            </w:r>
            <w:r>
              <w:rPr>
                <w:rFonts w:hint="default" w:ascii="Times New Roman" w:hAnsi="Times New Roman" w:cs="Times New Roman"/>
                <w:szCs w:val="21"/>
              </w:rPr>
              <w:t>8.5.2</w:t>
            </w:r>
          </w:p>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Q</w:t>
            </w:r>
            <w:r>
              <w:rPr>
                <w:rFonts w:hint="default" w:ascii="Times New Roman" w:hAnsi="Times New Roman" w:cs="Times New Roman"/>
                <w:szCs w:val="21"/>
              </w:rPr>
              <w:t>8.5.4</w:t>
            </w:r>
          </w:p>
        </w:tc>
        <w:tc>
          <w:tcPr>
            <w:tcW w:w="1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highlight w:val="none"/>
              </w:rPr>
              <w:t>生产加工过程中和产品监视和测量过程中有采取</w:t>
            </w:r>
            <w:r>
              <w:rPr>
                <w:rFonts w:hint="default" w:ascii="Times New Roman" w:hAnsi="Times New Roman" w:cs="Times New Roman"/>
              </w:rPr>
              <w:t>适当的方式对产品进行标识（含检验状态），标识有确保唯一性，当有追溯性要求时，可确保在必要时进行追溯。原材料依据不同的类型和防护要求进行防护，如在外箱或搬运器具上标识防潮、勿压、易碎、防火等图案或提示性语言。产品运输时防止跌落损坏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rPr>
              <w:t>原材料分类分区放置在指定仓库，原料库的进出库手续齐全，有发料部门和领料部门的接收单据</w:t>
            </w:r>
            <w:r>
              <w:rPr>
                <w:rFonts w:hint="eastAsia" w:cs="Times New Roman"/>
                <w:lang w:eastAsia="zh-CN"/>
              </w:rPr>
              <w:t>，</w:t>
            </w:r>
            <w:r>
              <w:rPr>
                <w:rFonts w:hint="default" w:ascii="Times New Roman" w:hAnsi="Times New Roman" w:cs="Times New Roman"/>
              </w:rPr>
              <w:t>仓库账务卡一致，在库产品按规定摆放并码放整齐，标识和可追溯性基本符合标准要求。经品质检验判定合格的产品方可包装</w:t>
            </w:r>
            <w:r>
              <w:rPr>
                <w:rFonts w:hint="eastAsia" w:cs="Times New Roman"/>
                <w:lang w:eastAsia="zh-CN"/>
              </w:rPr>
              <w:t>，</w:t>
            </w:r>
            <w:r>
              <w:rPr>
                <w:rFonts w:hint="default" w:ascii="Times New Roman" w:hAnsi="Times New Roman" w:cs="Times New Roman"/>
              </w:rPr>
              <w:t>所有产品的包装，必须根据客户订单要求进行包装，设备制造部必须检查包装是否正确，包装材料、标签及数量是否符合客户要求。当产品经检测和试验及包装合格</w:t>
            </w:r>
            <w:r>
              <w:rPr>
                <w:rFonts w:hint="eastAsia" w:cs="Times New Roman"/>
                <w:lang w:val="en-US" w:eastAsia="zh-CN"/>
              </w:rPr>
              <w:t>后，直接出库到客户制定地点。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生产质量通过生产人员按排班和岗位、生产日期班次等生产记录实现追溯。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产品主要防止磕碰，采取了放置时保持距离和上下层有垫木等。目前无因防护损坏的现象。</w:t>
            </w:r>
          </w:p>
          <w:p>
            <w:pPr>
              <w:keepNext w:val="0"/>
              <w:keepLines w:val="0"/>
              <w:pageBreakBefore w:val="0"/>
              <w:widowControl w:val="0"/>
              <w:tabs>
                <w:tab w:val="left" w:pos="742"/>
              </w:tabs>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rPr>
              <w:t>产品防护措施得当，贮存环境适宜，产品防护基本符合要求。</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40"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交付后的活动</w:t>
            </w:r>
          </w:p>
        </w:tc>
        <w:tc>
          <w:tcPr>
            <w:tcW w:w="812"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 xml:space="preserve">Q8.5.5 </w:t>
            </w:r>
          </w:p>
        </w:tc>
        <w:tc>
          <w:tcPr>
            <w:tcW w:w="1153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产品交付时，对客户销售人员进行培训，内容涉及结算、退货、投诉等。如客户在使用过程中出现问题，先通过电话进行解决，如远程无法解决，派专人到客户现场实地解决。</w:t>
            </w:r>
          </w:p>
        </w:tc>
        <w:tc>
          <w:tcPr>
            <w:tcW w:w="76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540"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更改控制</w:t>
            </w:r>
          </w:p>
        </w:tc>
        <w:tc>
          <w:tcPr>
            <w:tcW w:w="812" w:type="dxa"/>
            <w:vAlign w:val="center"/>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lang w:val="en-US" w:eastAsia="zh-CN"/>
              </w:rPr>
              <w:t>Q</w:t>
            </w:r>
            <w:r>
              <w:rPr>
                <w:rFonts w:hint="default" w:ascii="Times New Roman" w:hAnsi="Times New Roman" w:cs="Times New Roman"/>
                <w:szCs w:val="21"/>
              </w:rPr>
              <w:t>8.5.6</w:t>
            </w:r>
          </w:p>
        </w:tc>
        <w:tc>
          <w:tcPr>
            <w:tcW w:w="1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lang w:eastAsia="zh-CN"/>
              </w:rPr>
              <w:t>设备制造部</w:t>
            </w:r>
            <w:r>
              <w:rPr>
                <w:rFonts w:hint="default" w:ascii="Times New Roman" w:hAnsi="Times New Roman" w:cs="Times New Roman"/>
              </w:rPr>
              <w:t>负责人介绍，当内外部环境，如客户要求、产品技术和质量要求、生产工艺、适用的法律法规和产品技术标准等有更改时，相关部门提出更改计划并进行更改，更改由原制定人负责具体实施。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自体系建立以来，未发生生产和服务控制有关信息的变更。</w:t>
            </w:r>
          </w:p>
        </w:tc>
        <w:tc>
          <w:tcPr>
            <w:tcW w:w="762" w:type="dxa"/>
          </w:tcPr>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szCs w:val="21"/>
              </w:rPr>
            </w:pPr>
            <w:r>
              <w:rPr>
                <w:rFonts w:hint="default" w:ascii="Times New Roman" w:hAnsi="Times New Roman" w:cs="Times New Roman"/>
                <w:szCs w:val="21"/>
              </w:rPr>
              <w:t>Y</w:t>
            </w:r>
          </w:p>
        </w:tc>
      </w:tr>
    </w:tbl>
    <w:p>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3"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Bqrl1gAAAAoBAAAPAAAAAAAAAAEAIAAAACIAAABkcnMvZG93bnJldi54&#10;bWxQSwECFAAUAAAACACHTuJA7cDMaM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94BA2"/>
    <w:multiLevelType w:val="singleLevel"/>
    <w:tmpl w:val="F6694BA2"/>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E4"/>
    <w:rsid w:val="00187A58"/>
    <w:rsid w:val="002515E2"/>
    <w:rsid w:val="002A5A9C"/>
    <w:rsid w:val="00370420"/>
    <w:rsid w:val="00561166"/>
    <w:rsid w:val="005E5015"/>
    <w:rsid w:val="006351C6"/>
    <w:rsid w:val="006642E9"/>
    <w:rsid w:val="00730281"/>
    <w:rsid w:val="008B0A22"/>
    <w:rsid w:val="009D10D6"/>
    <w:rsid w:val="00A07AA2"/>
    <w:rsid w:val="00A23659"/>
    <w:rsid w:val="00CD5649"/>
    <w:rsid w:val="00CE417D"/>
    <w:rsid w:val="00D063E4"/>
    <w:rsid w:val="00D6273F"/>
    <w:rsid w:val="00D65AC3"/>
    <w:rsid w:val="00D7203A"/>
    <w:rsid w:val="00EF1735"/>
    <w:rsid w:val="00F8010E"/>
    <w:rsid w:val="03DD039D"/>
    <w:rsid w:val="0497303F"/>
    <w:rsid w:val="04D3184A"/>
    <w:rsid w:val="063E53B1"/>
    <w:rsid w:val="06646A6F"/>
    <w:rsid w:val="08AA7F6D"/>
    <w:rsid w:val="09D95350"/>
    <w:rsid w:val="0ADD02B5"/>
    <w:rsid w:val="0B413484"/>
    <w:rsid w:val="0D0B6559"/>
    <w:rsid w:val="0E87534E"/>
    <w:rsid w:val="0EB00B1E"/>
    <w:rsid w:val="0F5E5294"/>
    <w:rsid w:val="0FE96C54"/>
    <w:rsid w:val="12AF152A"/>
    <w:rsid w:val="149D3F70"/>
    <w:rsid w:val="17BF159A"/>
    <w:rsid w:val="17C82FA3"/>
    <w:rsid w:val="18523896"/>
    <w:rsid w:val="19AF7422"/>
    <w:rsid w:val="1A037635"/>
    <w:rsid w:val="1AFB5495"/>
    <w:rsid w:val="1C1216C0"/>
    <w:rsid w:val="1CEB7E6C"/>
    <w:rsid w:val="1CF22D1E"/>
    <w:rsid w:val="1D0A65C3"/>
    <w:rsid w:val="1EDC5C33"/>
    <w:rsid w:val="1EF97B90"/>
    <w:rsid w:val="20D56EDF"/>
    <w:rsid w:val="22137A4A"/>
    <w:rsid w:val="24E600E3"/>
    <w:rsid w:val="250D636B"/>
    <w:rsid w:val="253A47C6"/>
    <w:rsid w:val="25422895"/>
    <w:rsid w:val="27D06823"/>
    <w:rsid w:val="27DA1641"/>
    <w:rsid w:val="28145B0B"/>
    <w:rsid w:val="291C62D8"/>
    <w:rsid w:val="2D1F33BE"/>
    <w:rsid w:val="2EA14E9A"/>
    <w:rsid w:val="337810B5"/>
    <w:rsid w:val="34E645DA"/>
    <w:rsid w:val="38895708"/>
    <w:rsid w:val="389D0C7B"/>
    <w:rsid w:val="39504644"/>
    <w:rsid w:val="39595192"/>
    <w:rsid w:val="395E31ED"/>
    <w:rsid w:val="39892C49"/>
    <w:rsid w:val="39B22D4C"/>
    <w:rsid w:val="3A7B5426"/>
    <w:rsid w:val="3ADB10DE"/>
    <w:rsid w:val="3B1B73B1"/>
    <w:rsid w:val="3B7D66C6"/>
    <w:rsid w:val="3C2C5DE4"/>
    <w:rsid w:val="4080309B"/>
    <w:rsid w:val="41610BBB"/>
    <w:rsid w:val="418A3B3E"/>
    <w:rsid w:val="42472051"/>
    <w:rsid w:val="428A421A"/>
    <w:rsid w:val="45157DD9"/>
    <w:rsid w:val="46ED26EA"/>
    <w:rsid w:val="47A61467"/>
    <w:rsid w:val="4ACA11FE"/>
    <w:rsid w:val="4BCD2D1B"/>
    <w:rsid w:val="4FB04420"/>
    <w:rsid w:val="50BD35F0"/>
    <w:rsid w:val="54576C47"/>
    <w:rsid w:val="55283B0B"/>
    <w:rsid w:val="563411D0"/>
    <w:rsid w:val="5693667C"/>
    <w:rsid w:val="56FD65F3"/>
    <w:rsid w:val="572204CD"/>
    <w:rsid w:val="576B78E9"/>
    <w:rsid w:val="593516B3"/>
    <w:rsid w:val="59E13FE8"/>
    <w:rsid w:val="59EC7BE9"/>
    <w:rsid w:val="5B332390"/>
    <w:rsid w:val="5CAE39C8"/>
    <w:rsid w:val="5E073BEC"/>
    <w:rsid w:val="5F1028BB"/>
    <w:rsid w:val="60854831"/>
    <w:rsid w:val="609343FB"/>
    <w:rsid w:val="60CC2D99"/>
    <w:rsid w:val="64447640"/>
    <w:rsid w:val="64777D6D"/>
    <w:rsid w:val="65F26A42"/>
    <w:rsid w:val="65F576EB"/>
    <w:rsid w:val="666545FD"/>
    <w:rsid w:val="680155B3"/>
    <w:rsid w:val="68621FA9"/>
    <w:rsid w:val="68CD1433"/>
    <w:rsid w:val="69CF37D0"/>
    <w:rsid w:val="6A114CFB"/>
    <w:rsid w:val="6BBA17C7"/>
    <w:rsid w:val="6C6C235D"/>
    <w:rsid w:val="6D2B6E5A"/>
    <w:rsid w:val="6E8A1A04"/>
    <w:rsid w:val="6FC21137"/>
    <w:rsid w:val="70650073"/>
    <w:rsid w:val="72074EE9"/>
    <w:rsid w:val="7244594B"/>
    <w:rsid w:val="73152E60"/>
    <w:rsid w:val="75015A10"/>
    <w:rsid w:val="76772862"/>
    <w:rsid w:val="77481D26"/>
    <w:rsid w:val="790011B3"/>
    <w:rsid w:val="79EB31A9"/>
    <w:rsid w:val="7D1D46AD"/>
    <w:rsid w:val="7D1E5C0F"/>
    <w:rsid w:val="7D576CE2"/>
    <w:rsid w:val="7D7C08BA"/>
    <w:rsid w:val="7EF84701"/>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next w:val="5"/>
    <w:unhideWhenUsed/>
    <w:qFormat/>
    <w:uiPriority w:val="99"/>
    <w:pPr>
      <w:spacing w:after="12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next w:val="4"/>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1407</Words>
  <Characters>8023</Characters>
  <Lines>66</Lines>
  <Paragraphs>18</Paragraphs>
  <TotalTime>10</TotalTime>
  <ScaleCrop>false</ScaleCrop>
  <LinksUpToDate>false</LinksUpToDate>
  <CharactersWithSpaces>9412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2021-08-31T15:24:27Z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AC13349B92274FCEAC93A37D19998432</vt:lpwstr>
  </property>
</Properties>
</file>