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犍为县华君水泥制品有限公司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16.02.01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沈剑霜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环形预应力混凝土电杆、环形钢筋混凝土电杆工艺流程：钢筋制作→混凝土搅拌→夹模→离心→蒸养→脱模→检测→堆放→出厂。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水泥拉线埋件工艺：钢筋制作→混凝土搅拌→成型→脱模→养护→检测→堆放→出厂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配料搅拌</w:t>
            </w:r>
            <w:r>
              <w:rPr>
                <w:rFonts w:hint="eastAsia"/>
                <w:b/>
                <w:sz w:val="20"/>
                <w:lang w:val="en-US" w:eastAsia="zh-CN"/>
              </w:rPr>
              <w:t>为特殊过程，通过过程能力确认记录来控制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《中华人民共和国产品质量法》；《中华人民共和国计量法》；《中华人民共和国安全生产法》；GB/T4623-20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bookmarkStart w:id="10" w:name="_GoBack"/>
            <w:bookmarkEnd w:id="10"/>
            <w:r>
              <w:rPr>
                <w:rFonts w:hint="eastAsia"/>
                <w:b/>
                <w:sz w:val="20"/>
              </w:rPr>
              <w:t>《环形混凝土电杆》。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供该年度的产品型式检验报告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沈剑霜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2021年8月21日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陈伟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2021年8月21日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958063A"/>
    <w:rsid w:val="402576BD"/>
    <w:rsid w:val="452D5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2021-08-22T03:07:24Z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