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5511A4">
            <w:pPr>
              <w:rPr>
                <w:sz w:val="24"/>
                <w:szCs w:val="24"/>
              </w:rPr>
            </w:pPr>
            <w:r w:rsidRPr="00427512">
              <w:rPr>
                <w:rFonts w:hAnsi="宋体"/>
                <w:sz w:val="24"/>
                <w:szCs w:val="24"/>
              </w:rPr>
              <w:t>受审核部门：管理层</w:t>
            </w:r>
            <w:r w:rsidR="00427512" w:rsidRPr="00427512">
              <w:rPr>
                <w:sz w:val="24"/>
                <w:szCs w:val="24"/>
              </w:rPr>
              <w:t xml:space="preserve">  </w:t>
            </w:r>
            <w:r w:rsidRPr="00427512">
              <w:rPr>
                <w:rFonts w:hAnsi="宋体"/>
                <w:sz w:val="24"/>
                <w:szCs w:val="24"/>
              </w:rPr>
              <w:t>主管领导</w:t>
            </w:r>
            <w:r w:rsidR="005511A4">
              <w:rPr>
                <w:rFonts w:hAnsi="宋体" w:hint="eastAsia"/>
                <w:sz w:val="24"/>
                <w:szCs w:val="24"/>
              </w:rPr>
              <w:t>/</w:t>
            </w:r>
            <w:r w:rsidRPr="00427512">
              <w:rPr>
                <w:rFonts w:hAnsi="宋体"/>
                <w:sz w:val="24"/>
                <w:szCs w:val="24"/>
              </w:rPr>
              <w:t>陪同人员：</w:t>
            </w:r>
            <w:r w:rsidR="005511A4" w:rsidRPr="00D924DD">
              <w:rPr>
                <w:rFonts w:hAnsi="宋体" w:hint="eastAsia"/>
                <w:sz w:val="24"/>
              </w:rPr>
              <w:t>陈其</w:t>
            </w:r>
            <w:r w:rsidR="005511A4">
              <w:rPr>
                <w:rFonts w:hAnsi="宋体" w:hint="eastAsia"/>
                <w:sz w:val="24"/>
              </w:rPr>
              <w:t>/</w:t>
            </w:r>
            <w:r w:rsidR="005511A4" w:rsidRPr="00D924DD">
              <w:rPr>
                <w:rFonts w:hAnsi="宋体" w:hint="eastAsia"/>
                <w:sz w:val="24"/>
              </w:rPr>
              <w:t>杨卫星</w:t>
            </w:r>
            <w:r w:rsidR="00241B63">
              <w:rPr>
                <w:rFonts w:hAnsi="宋体" w:hint="eastAsia"/>
                <w:sz w:val="24"/>
              </w:rPr>
              <w:t xml:space="preserve"> </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D924DD">
            <w:pPr>
              <w:spacing w:before="120"/>
              <w:rPr>
                <w:sz w:val="24"/>
                <w:szCs w:val="24"/>
              </w:rPr>
            </w:pPr>
            <w:r w:rsidRPr="00427512">
              <w:rPr>
                <w:rFonts w:hAnsi="宋体"/>
                <w:sz w:val="24"/>
                <w:szCs w:val="24"/>
              </w:rPr>
              <w:t>审核员：文波</w:t>
            </w:r>
            <w:r w:rsidRPr="00427512">
              <w:rPr>
                <w:sz w:val="24"/>
                <w:szCs w:val="24"/>
              </w:rPr>
              <w:t xml:space="preserve">  </w:t>
            </w:r>
            <w:r w:rsidR="005C7367" w:rsidRPr="00427512">
              <w:rPr>
                <w:rFonts w:hAnsi="宋体"/>
                <w:sz w:val="24"/>
                <w:szCs w:val="24"/>
              </w:rPr>
              <w:t>审核时间：</w:t>
            </w:r>
            <w:r w:rsidR="00B038EA">
              <w:rPr>
                <w:sz w:val="24"/>
                <w:szCs w:val="24"/>
              </w:rPr>
              <w:t>202</w:t>
            </w:r>
            <w:r w:rsidR="00B038EA">
              <w:rPr>
                <w:rFonts w:hint="eastAsia"/>
                <w:sz w:val="24"/>
                <w:szCs w:val="24"/>
              </w:rPr>
              <w:t>1</w:t>
            </w:r>
            <w:r w:rsidR="005C7367" w:rsidRPr="00427512">
              <w:rPr>
                <w:sz w:val="24"/>
                <w:szCs w:val="24"/>
              </w:rPr>
              <w:t>.</w:t>
            </w:r>
            <w:r w:rsidR="00B038EA">
              <w:rPr>
                <w:rFonts w:hint="eastAsia"/>
                <w:sz w:val="24"/>
                <w:szCs w:val="24"/>
              </w:rPr>
              <w:t>8</w:t>
            </w:r>
            <w:r w:rsidR="005C7367" w:rsidRPr="00427512">
              <w:rPr>
                <w:sz w:val="24"/>
                <w:szCs w:val="24"/>
              </w:rPr>
              <w:t>.</w:t>
            </w:r>
            <w:r w:rsidR="00B038EA">
              <w:rPr>
                <w:rFonts w:hint="eastAsia"/>
                <w:sz w:val="24"/>
                <w:szCs w:val="24"/>
              </w:rPr>
              <w:t>23</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5511A4" w:rsidRPr="005511A4" w:rsidRDefault="005511A4" w:rsidP="005511A4">
            <w:pPr>
              <w:spacing w:line="288" w:lineRule="auto"/>
              <w:rPr>
                <w:spacing w:val="-6"/>
                <w:szCs w:val="21"/>
              </w:rPr>
            </w:pPr>
            <w:r w:rsidRPr="005511A4">
              <w:rPr>
                <w:rFonts w:hint="eastAsia"/>
                <w:spacing w:val="-6"/>
                <w:szCs w:val="21"/>
              </w:rPr>
              <w:t>QEO:4.1</w:t>
            </w:r>
            <w:r w:rsidRPr="005511A4">
              <w:rPr>
                <w:rFonts w:hint="eastAsia"/>
                <w:spacing w:val="-6"/>
                <w:szCs w:val="21"/>
              </w:rPr>
              <w:t>理解组织及其环境、</w:t>
            </w:r>
            <w:r w:rsidRPr="005511A4">
              <w:rPr>
                <w:rFonts w:hint="eastAsia"/>
                <w:spacing w:val="-6"/>
                <w:szCs w:val="21"/>
              </w:rPr>
              <w:t>4.2</w:t>
            </w:r>
            <w:r w:rsidRPr="005511A4">
              <w:rPr>
                <w:rFonts w:hint="eastAsia"/>
                <w:spacing w:val="-6"/>
                <w:szCs w:val="21"/>
              </w:rPr>
              <w:t>理解相关方的需求和期望、</w:t>
            </w:r>
            <w:r w:rsidRPr="005511A4">
              <w:rPr>
                <w:rFonts w:hint="eastAsia"/>
                <w:spacing w:val="-6"/>
                <w:szCs w:val="21"/>
              </w:rPr>
              <w:t xml:space="preserve">4.3 </w:t>
            </w:r>
            <w:r w:rsidRPr="005511A4">
              <w:rPr>
                <w:rFonts w:hint="eastAsia"/>
                <w:spacing w:val="-6"/>
                <w:szCs w:val="21"/>
              </w:rPr>
              <w:t>确定管理体系的范围、</w:t>
            </w:r>
            <w:r w:rsidRPr="005511A4">
              <w:rPr>
                <w:rFonts w:hint="eastAsia"/>
                <w:spacing w:val="-6"/>
                <w:szCs w:val="21"/>
              </w:rPr>
              <w:t>4.4</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职业健康安全管理体系及其过程、</w:t>
            </w:r>
            <w:r w:rsidRPr="005511A4">
              <w:rPr>
                <w:rFonts w:hint="eastAsia"/>
                <w:spacing w:val="-6"/>
                <w:szCs w:val="21"/>
              </w:rPr>
              <w:t>5.1</w:t>
            </w:r>
            <w:r w:rsidRPr="005511A4">
              <w:rPr>
                <w:rFonts w:hint="eastAsia"/>
                <w:spacing w:val="-6"/>
                <w:szCs w:val="21"/>
              </w:rPr>
              <w:t>领导作用和承诺、</w:t>
            </w:r>
            <w:r w:rsidRPr="005511A4">
              <w:rPr>
                <w:rFonts w:hint="eastAsia"/>
                <w:spacing w:val="-6"/>
                <w:szCs w:val="21"/>
              </w:rPr>
              <w:t>5.2</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职业健康安全方针、</w:t>
            </w:r>
            <w:r w:rsidRPr="005511A4">
              <w:rPr>
                <w:rFonts w:hint="eastAsia"/>
                <w:spacing w:val="-6"/>
                <w:szCs w:val="21"/>
              </w:rPr>
              <w:t>5.3</w:t>
            </w:r>
            <w:r w:rsidRPr="005511A4">
              <w:rPr>
                <w:rFonts w:hint="eastAsia"/>
                <w:spacing w:val="-6"/>
                <w:szCs w:val="21"/>
              </w:rPr>
              <w:t>组织的岗位、职责和权限、</w:t>
            </w:r>
            <w:r w:rsidRPr="005511A4">
              <w:rPr>
                <w:rFonts w:hint="eastAsia"/>
                <w:spacing w:val="-6"/>
                <w:szCs w:val="21"/>
              </w:rPr>
              <w:t>O5.4</w:t>
            </w:r>
            <w:r w:rsidRPr="005511A4">
              <w:rPr>
                <w:rFonts w:hint="eastAsia"/>
                <w:spacing w:val="-6"/>
                <w:szCs w:val="21"/>
              </w:rPr>
              <w:t>协商与参与、</w:t>
            </w:r>
            <w:r w:rsidRPr="005511A4">
              <w:rPr>
                <w:rFonts w:hint="eastAsia"/>
                <w:spacing w:val="-6"/>
                <w:szCs w:val="21"/>
              </w:rPr>
              <w:t>6.1</w:t>
            </w:r>
            <w:r w:rsidRPr="005511A4">
              <w:rPr>
                <w:rFonts w:hint="eastAsia"/>
                <w:spacing w:val="-6"/>
                <w:szCs w:val="21"/>
              </w:rPr>
              <w:t>应对风险和机遇的措施、</w:t>
            </w:r>
            <w:r w:rsidRPr="005511A4">
              <w:rPr>
                <w:rFonts w:hint="eastAsia"/>
                <w:spacing w:val="-6"/>
                <w:szCs w:val="21"/>
              </w:rPr>
              <w:t>6.2</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职业健康安全目标及其实现的策划、</w:t>
            </w:r>
            <w:r w:rsidRPr="005511A4">
              <w:rPr>
                <w:rFonts w:hint="eastAsia"/>
                <w:spacing w:val="-6"/>
                <w:szCs w:val="21"/>
              </w:rPr>
              <w:t>Q6.3</w:t>
            </w:r>
            <w:r w:rsidRPr="005511A4">
              <w:rPr>
                <w:rFonts w:hint="eastAsia"/>
                <w:spacing w:val="-6"/>
                <w:szCs w:val="21"/>
              </w:rPr>
              <w:t>变更的策划、</w:t>
            </w:r>
            <w:r w:rsidRPr="005511A4">
              <w:rPr>
                <w:rFonts w:hint="eastAsia"/>
                <w:spacing w:val="-6"/>
                <w:szCs w:val="21"/>
              </w:rPr>
              <w:t>7.1.1</w:t>
            </w:r>
            <w:r w:rsidRPr="005511A4">
              <w:rPr>
                <w:rFonts w:hint="eastAsia"/>
                <w:spacing w:val="-6"/>
                <w:szCs w:val="21"/>
              </w:rPr>
              <w:t>（</w:t>
            </w:r>
            <w:r w:rsidRPr="005511A4">
              <w:rPr>
                <w:rFonts w:hint="eastAsia"/>
                <w:spacing w:val="-6"/>
                <w:szCs w:val="21"/>
              </w:rPr>
              <w:t>EO7.1</w:t>
            </w:r>
            <w:r w:rsidRPr="005511A4">
              <w:rPr>
                <w:rFonts w:hint="eastAsia"/>
                <w:spacing w:val="-6"/>
                <w:szCs w:val="21"/>
              </w:rPr>
              <w:t>）资源总则、</w:t>
            </w:r>
            <w:r w:rsidRPr="005511A4">
              <w:rPr>
                <w:rFonts w:hint="eastAsia"/>
                <w:spacing w:val="-6"/>
                <w:szCs w:val="21"/>
              </w:rPr>
              <w:t>7.4</w:t>
            </w:r>
            <w:r w:rsidRPr="005511A4">
              <w:rPr>
                <w:rFonts w:hint="eastAsia"/>
                <w:spacing w:val="-6"/>
                <w:szCs w:val="21"/>
              </w:rPr>
              <w:t>沟通</w:t>
            </w:r>
            <w:r w:rsidRPr="005511A4">
              <w:rPr>
                <w:rFonts w:hint="eastAsia"/>
                <w:spacing w:val="-6"/>
                <w:szCs w:val="21"/>
              </w:rPr>
              <w:t>/</w:t>
            </w:r>
            <w:r w:rsidRPr="005511A4">
              <w:rPr>
                <w:rFonts w:hint="eastAsia"/>
                <w:spacing w:val="-6"/>
                <w:szCs w:val="21"/>
              </w:rPr>
              <w:t>信息交流、</w:t>
            </w:r>
            <w:r w:rsidRPr="005511A4">
              <w:rPr>
                <w:rFonts w:hint="eastAsia"/>
                <w:spacing w:val="-6"/>
                <w:szCs w:val="21"/>
              </w:rPr>
              <w:t>9.3</w:t>
            </w:r>
            <w:r w:rsidRPr="005511A4">
              <w:rPr>
                <w:rFonts w:hint="eastAsia"/>
                <w:spacing w:val="-6"/>
                <w:szCs w:val="21"/>
              </w:rPr>
              <w:t>管理评审、</w:t>
            </w:r>
            <w:r w:rsidRPr="005511A4">
              <w:rPr>
                <w:rFonts w:hint="eastAsia"/>
                <w:spacing w:val="-6"/>
                <w:szCs w:val="21"/>
              </w:rPr>
              <w:t>10.1</w:t>
            </w:r>
            <w:r w:rsidRPr="005511A4">
              <w:rPr>
                <w:rFonts w:hint="eastAsia"/>
                <w:spacing w:val="-6"/>
                <w:szCs w:val="21"/>
              </w:rPr>
              <w:t>改进、</w:t>
            </w:r>
            <w:r w:rsidRPr="005511A4">
              <w:rPr>
                <w:rFonts w:hint="eastAsia"/>
                <w:spacing w:val="-6"/>
                <w:szCs w:val="21"/>
              </w:rPr>
              <w:t>10.3</w:t>
            </w:r>
            <w:r w:rsidRPr="005511A4">
              <w:rPr>
                <w:rFonts w:hint="eastAsia"/>
                <w:spacing w:val="-6"/>
                <w:szCs w:val="21"/>
              </w:rPr>
              <w:t>持续改进，</w:t>
            </w:r>
          </w:p>
          <w:p w:rsidR="005C7367" w:rsidRPr="00427512" w:rsidRDefault="005511A4" w:rsidP="005511A4">
            <w:pPr>
              <w:spacing w:line="288" w:lineRule="auto"/>
              <w:rPr>
                <w:sz w:val="24"/>
                <w:szCs w:val="24"/>
              </w:rPr>
            </w:pPr>
            <w:r w:rsidRPr="005511A4">
              <w:rPr>
                <w:rFonts w:hint="eastAsia"/>
                <w:spacing w:val="-6"/>
                <w:szCs w:val="21"/>
              </w:rPr>
              <w:t>标准</w:t>
            </w:r>
            <w:r w:rsidRPr="005511A4">
              <w:rPr>
                <w:rFonts w:hint="eastAsia"/>
                <w:spacing w:val="-6"/>
                <w:szCs w:val="21"/>
              </w:rPr>
              <w:t>/</w:t>
            </w:r>
            <w:r w:rsidRPr="005511A4">
              <w:rPr>
                <w:rFonts w:hint="eastAsia"/>
                <w:spacing w:val="-6"/>
                <w:szCs w:val="21"/>
              </w:rPr>
              <w:t>规范</w:t>
            </w:r>
            <w:r w:rsidRPr="005511A4">
              <w:rPr>
                <w:rFonts w:hint="eastAsia"/>
                <w:spacing w:val="-6"/>
                <w:szCs w:val="21"/>
              </w:rPr>
              <w:t>/</w:t>
            </w:r>
            <w:r w:rsidRPr="005511A4">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5511A4" w:rsidRPr="00427512" w:rsidTr="00CD768C">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t>理解组织及其环境</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QEO:4.1</w:t>
            </w:r>
          </w:p>
        </w:tc>
        <w:tc>
          <w:tcPr>
            <w:tcW w:w="10004" w:type="dxa"/>
          </w:tcPr>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面谈人员：最高管理者</w:t>
            </w:r>
            <w:r>
              <w:rPr>
                <w:rFonts w:ascii="宋体" w:hAnsi="宋体" w:cs="Arial" w:hint="eastAsia"/>
                <w:spacing w:val="-6"/>
                <w:szCs w:val="21"/>
              </w:rPr>
              <w:t>：陈其，管代：</w:t>
            </w:r>
            <w:r w:rsidRPr="005511A4">
              <w:rPr>
                <w:rFonts w:ascii="宋体" w:hAnsi="宋体" w:cs="Arial" w:hint="eastAsia"/>
                <w:spacing w:val="-6"/>
                <w:szCs w:val="21"/>
              </w:rPr>
              <w:t>杨卫星</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营业执照： </w:t>
            </w:r>
            <w:r w:rsidRPr="001B2AFC">
              <w:rPr>
                <w:rFonts w:ascii="宋体" w:hAnsi="宋体" w:cs="Arial" w:hint="eastAsia"/>
                <w:spacing w:val="-6"/>
                <w:szCs w:val="21"/>
              </w:rPr>
              <w:tab/>
            </w:r>
            <w:r w:rsidRPr="005511A4">
              <w:rPr>
                <w:rFonts w:ascii="宋体" w:hAnsi="宋体" w:cs="Arial" w:hint="eastAsia"/>
                <w:spacing w:val="-6"/>
                <w:szCs w:val="21"/>
              </w:rPr>
              <w:t>江西昌通电力科技有限公司</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统一社会信用代码：  </w:t>
            </w:r>
            <w:r w:rsidRPr="005511A4">
              <w:rPr>
                <w:rFonts w:ascii="宋体" w:hAnsi="宋体" w:cs="Arial"/>
                <w:spacing w:val="-6"/>
                <w:szCs w:val="21"/>
              </w:rPr>
              <w:t>91360981MA38ARE583</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成立日期： </w:t>
            </w:r>
            <w:r w:rsidRPr="005511A4">
              <w:rPr>
                <w:rFonts w:ascii="宋体" w:hAnsi="宋体" w:cs="Arial" w:hint="eastAsia"/>
                <w:spacing w:val="-6"/>
                <w:szCs w:val="21"/>
              </w:rPr>
              <w:t>2018年12月24日</w:t>
            </w:r>
            <w:r w:rsidRPr="001B2AFC">
              <w:rPr>
                <w:rFonts w:ascii="宋体" w:hAnsi="宋体" w:cs="Arial" w:hint="eastAsia"/>
                <w:spacing w:val="-6"/>
                <w:szCs w:val="21"/>
              </w:rPr>
              <w:t xml:space="preserve">   有效期：  </w:t>
            </w:r>
            <w:r w:rsidRPr="005511A4">
              <w:rPr>
                <w:rFonts w:ascii="宋体" w:hAnsi="宋体" w:cs="Arial" w:hint="eastAsia"/>
                <w:spacing w:val="-6"/>
                <w:szCs w:val="21"/>
              </w:rPr>
              <w:t>2018年12月24日</w:t>
            </w:r>
            <w:r w:rsidRPr="001B2AFC">
              <w:rPr>
                <w:rFonts w:ascii="宋体" w:hAnsi="宋体" w:cs="Arial" w:hint="eastAsia"/>
                <w:spacing w:val="-6"/>
                <w:szCs w:val="21"/>
              </w:rPr>
              <w:t xml:space="preserve">至  </w:t>
            </w:r>
            <w:r w:rsidRPr="005511A4">
              <w:rPr>
                <w:rFonts w:ascii="宋体" w:hAnsi="宋体" w:cs="Arial" w:hint="eastAsia"/>
                <w:spacing w:val="-6"/>
                <w:szCs w:val="21"/>
              </w:rPr>
              <w:t>2020年05月12日</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法人代表</w:t>
            </w:r>
            <w:r w:rsidRPr="005511A4">
              <w:rPr>
                <w:rFonts w:ascii="宋体" w:hAnsi="宋体" w:cs="Arial" w:hint="eastAsia"/>
                <w:spacing w:val="-6"/>
                <w:szCs w:val="21"/>
              </w:rPr>
              <w:t>陈云峰</w:t>
            </w:r>
            <w:r w:rsidRPr="001B2AFC">
              <w:rPr>
                <w:rFonts w:ascii="宋体" w:hAnsi="宋体" w:cs="Arial" w:hint="eastAsia"/>
                <w:spacing w:val="-6"/>
                <w:szCs w:val="21"/>
              </w:rPr>
              <w:t>，公司注册资本</w:t>
            </w:r>
            <w:r w:rsidRPr="005511A4">
              <w:rPr>
                <w:rFonts w:ascii="宋体" w:hAnsi="宋体" w:cs="Arial"/>
                <w:spacing w:val="-6"/>
                <w:szCs w:val="21"/>
              </w:rPr>
              <w:t>6018</w:t>
            </w:r>
            <w:r w:rsidRPr="001B2AFC">
              <w:rPr>
                <w:rFonts w:ascii="宋体" w:hAnsi="宋体" w:cs="Arial" w:hint="eastAsia"/>
                <w:spacing w:val="-6"/>
                <w:szCs w:val="21"/>
              </w:rPr>
              <w:t>万元。</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注册地址：</w:t>
            </w:r>
            <w:r w:rsidRPr="005511A4">
              <w:rPr>
                <w:rFonts w:ascii="宋体" w:hAnsi="宋体" w:cs="Arial" w:hint="eastAsia"/>
                <w:spacing w:val="-6"/>
                <w:szCs w:val="21"/>
              </w:rPr>
              <w:t>江西省宜春市丰城市高新技术产业园区火炬大道3号</w:t>
            </w:r>
            <w:r w:rsidRPr="001B2AFC">
              <w:rPr>
                <w:rFonts w:ascii="宋体" w:hAnsi="宋体" w:cs="Arial" w:hint="eastAsia"/>
                <w:spacing w:val="-6"/>
                <w:szCs w:val="21"/>
              </w:rPr>
              <w:t>。</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经营范围：</w:t>
            </w:r>
            <w:r w:rsidRPr="005511A4">
              <w:rPr>
                <w:rFonts w:ascii="宋体" w:hAnsi="宋体" w:cs="Arial" w:hint="eastAsia"/>
                <w:spacing w:val="-6"/>
                <w:szCs w:val="21"/>
              </w:rPr>
              <w:t>塑料件的技术研发、技术服务及销售；高低压电器成套设备、电气、机电设备、金属材料的生产销售；PVC电力管道、玻璃钢管道、非开挖电力管道、通信管道、PE给水管道、PE缠绕管道制造、销售；化粪池、环保设备销售。(依法须经批准的项目,经相关部门批准后方可开展经营活动)</w:t>
            </w:r>
            <w:r w:rsidRPr="001B2AFC">
              <w:rPr>
                <w:rFonts w:ascii="宋体" w:hAnsi="宋体" w:cs="Arial" w:hint="eastAsia"/>
                <w:spacing w:val="-6"/>
                <w:szCs w:val="21"/>
              </w:rPr>
              <w:t>。</w:t>
            </w:r>
          </w:p>
          <w:p w:rsidR="005511A4" w:rsidRPr="001B2AFC"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查国家企业信用信息公示系统，企业无异常经营记录、无违法失信记录。</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查到了企业的营业执照，经营范围包括了认证范围内产品。</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511A4">
              <w:rPr>
                <w:rFonts w:ascii="宋体" w:hAnsi="宋体" w:cs="Arial" w:hint="eastAsia"/>
                <w:spacing w:val="-6"/>
                <w:szCs w:val="21"/>
              </w:rPr>
              <w:t>PVC电力管道、非开挖电力管道、通信管道、PE给水管道</w:t>
            </w:r>
            <w:r>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5511A4" w:rsidRPr="00427512" w:rsidRDefault="005511A4" w:rsidP="007757F3">
            <w:pPr>
              <w:rPr>
                <w:sz w:val="24"/>
                <w:szCs w:val="24"/>
              </w:rPr>
            </w:pPr>
            <w:r>
              <w:rPr>
                <w:sz w:val="24"/>
                <w:szCs w:val="24"/>
              </w:rPr>
              <w:lastRenderedPageBreak/>
              <w:t>符合</w:t>
            </w:r>
          </w:p>
        </w:tc>
      </w:tr>
      <w:tr w:rsidR="005511A4" w:rsidRPr="00427512" w:rsidTr="00395D2F">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理解相关方的需求和期望</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QEO:4.2</w:t>
            </w:r>
          </w:p>
        </w:tc>
        <w:tc>
          <w:tcPr>
            <w:tcW w:w="10004" w:type="dxa"/>
          </w:tcPr>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5511A4" w:rsidRPr="00427512" w:rsidRDefault="005511A4" w:rsidP="007757F3">
            <w:pPr>
              <w:rPr>
                <w:sz w:val="24"/>
                <w:szCs w:val="24"/>
              </w:rPr>
            </w:pPr>
            <w:r>
              <w:rPr>
                <w:sz w:val="24"/>
                <w:szCs w:val="24"/>
              </w:rPr>
              <w:t>符合</w:t>
            </w:r>
          </w:p>
        </w:tc>
      </w:tr>
      <w:tr w:rsidR="005511A4" w:rsidRPr="00427512" w:rsidTr="00222DDE">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应对风险和机遇的措施</w:t>
            </w:r>
          </w:p>
          <w:p w:rsidR="005511A4" w:rsidRDefault="005511A4" w:rsidP="00E07A59">
            <w:pPr>
              <w:rPr>
                <w:rFonts w:ascii="宋体" w:hAnsi="宋体" w:cs="Arial"/>
                <w:spacing w:val="-6"/>
                <w:szCs w:val="21"/>
              </w:rPr>
            </w:pPr>
            <w:r>
              <w:rPr>
                <w:rFonts w:ascii="宋体" w:hAnsi="宋体" w:cs="Arial" w:hint="eastAsia"/>
                <w:spacing w:val="-6"/>
                <w:szCs w:val="21"/>
              </w:rPr>
              <w:t>确定管理体系的范围</w:t>
            </w:r>
          </w:p>
          <w:p w:rsidR="005511A4" w:rsidRDefault="005511A4" w:rsidP="00E07A59">
            <w:pPr>
              <w:rPr>
                <w:rFonts w:ascii="宋体" w:hAnsi="宋体" w:cs="Arial"/>
                <w:spacing w:val="-6"/>
                <w:szCs w:val="21"/>
              </w:rPr>
            </w:pPr>
            <w:r>
              <w:rPr>
                <w:rFonts w:ascii="宋体" w:hAnsi="宋体" w:cs="Arial" w:hint="eastAsia"/>
                <w:spacing w:val="-6"/>
                <w:szCs w:val="21"/>
              </w:rPr>
              <w:t>管理体系及其过程</w:t>
            </w:r>
          </w:p>
          <w:p w:rsidR="005511A4" w:rsidRDefault="005511A4" w:rsidP="00E07A59">
            <w:pPr>
              <w:rPr>
                <w:rFonts w:ascii="宋体" w:hAnsi="宋体" w:cs="Arial"/>
                <w:spacing w:val="-6"/>
                <w:szCs w:val="21"/>
              </w:rPr>
            </w:pPr>
            <w:r>
              <w:rPr>
                <w:rFonts w:ascii="宋体" w:hAnsi="宋体" w:cs="Arial" w:hint="eastAsia"/>
                <w:spacing w:val="-6"/>
                <w:szCs w:val="21"/>
              </w:rPr>
              <w:t>变更的策划</w:t>
            </w:r>
          </w:p>
          <w:p w:rsidR="005511A4" w:rsidRDefault="005511A4" w:rsidP="00E07A59">
            <w:pPr>
              <w:rPr>
                <w:rFonts w:ascii="宋体" w:hAnsi="宋体" w:cs="Arial"/>
                <w:spacing w:val="-6"/>
                <w:szCs w:val="21"/>
              </w:rPr>
            </w:pPr>
            <w:r>
              <w:rPr>
                <w:rFonts w:ascii="宋体" w:hAnsi="宋体" w:cs="Arial" w:hint="eastAsia"/>
                <w:spacing w:val="-6"/>
                <w:szCs w:val="21"/>
              </w:rPr>
              <w:t>删减合理性</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QEO:6.1</w:t>
            </w:r>
          </w:p>
          <w:p w:rsidR="005511A4" w:rsidRDefault="005511A4" w:rsidP="00E07A59">
            <w:pPr>
              <w:jc w:val="center"/>
              <w:rPr>
                <w:rFonts w:ascii="宋体" w:hAnsi="宋体" w:cs="Arial"/>
                <w:spacing w:val="-6"/>
                <w:szCs w:val="21"/>
              </w:rPr>
            </w:pPr>
            <w:r>
              <w:rPr>
                <w:rFonts w:ascii="宋体" w:hAnsi="宋体" w:cs="Arial" w:hint="eastAsia"/>
                <w:spacing w:val="-6"/>
                <w:szCs w:val="21"/>
              </w:rPr>
              <w:t>4.3</w:t>
            </w:r>
          </w:p>
          <w:p w:rsidR="005511A4" w:rsidRDefault="005511A4" w:rsidP="00E07A59">
            <w:pPr>
              <w:jc w:val="center"/>
              <w:rPr>
                <w:rFonts w:ascii="宋体" w:hAnsi="宋体" w:cs="Arial"/>
                <w:spacing w:val="-6"/>
                <w:szCs w:val="21"/>
              </w:rPr>
            </w:pPr>
            <w:r>
              <w:rPr>
                <w:rFonts w:ascii="宋体" w:hAnsi="宋体" w:cs="Arial" w:hint="eastAsia"/>
                <w:spacing w:val="-6"/>
                <w:szCs w:val="21"/>
              </w:rPr>
              <w:t>4.4</w:t>
            </w:r>
          </w:p>
          <w:p w:rsidR="005511A4" w:rsidRDefault="005511A4" w:rsidP="00E07A59">
            <w:pPr>
              <w:jc w:val="center"/>
              <w:rPr>
                <w:rFonts w:ascii="宋体" w:hAnsi="宋体" w:cs="Arial"/>
                <w:spacing w:val="-6"/>
                <w:szCs w:val="21"/>
              </w:rPr>
            </w:pPr>
            <w:r>
              <w:rPr>
                <w:rFonts w:ascii="宋体" w:hAnsi="宋体" w:cs="Arial" w:hint="eastAsia"/>
                <w:spacing w:val="-6"/>
                <w:szCs w:val="21"/>
              </w:rPr>
              <w:t>Q:6.3</w:t>
            </w:r>
          </w:p>
          <w:p w:rsidR="005511A4" w:rsidRDefault="005511A4" w:rsidP="00E07A59">
            <w:pPr>
              <w:jc w:val="center"/>
              <w:rPr>
                <w:rFonts w:ascii="宋体" w:hAnsi="宋体" w:cs="Arial"/>
                <w:spacing w:val="-6"/>
                <w:szCs w:val="21"/>
              </w:rPr>
            </w:pPr>
            <w:r>
              <w:rPr>
                <w:rFonts w:ascii="宋体" w:hAnsi="宋体" w:cs="Arial" w:hint="eastAsia"/>
                <w:spacing w:val="-6"/>
                <w:szCs w:val="21"/>
              </w:rPr>
              <w:t>8.3</w:t>
            </w:r>
          </w:p>
        </w:tc>
        <w:tc>
          <w:tcPr>
            <w:tcW w:w="10004" w:type="dxa"/>
          </w:tcPr>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噪音排放、粉尘排放、固废排放、潜在火灾发生</w:t>
            </w:r>
            <w:r>
              <w:rPr>
                <w:rFonts w:ascii="宋体" w:hAnsi="宋体" w:cs="Arial"/>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Pr="005511A4">
              <w:rPr>
                <w:rFonts w:ascii="宋体" w:hAnsi="宋体" w:cs="Arial" w:hint="eastAsia"/>
                <w:spacing w:val="-6"/>
                <w:szCs w:val="21"/>
              </w:rPr>
              <w:t>火灾、触电、高温灼伤、</w:t>
            </w:r>
            <w:r w:rsidR="005836EF">
              <w:rPr>
                <w:rFonts w:ascii="宋体" w:hAnsi="宋体" w:cs="Arial" w:hint="eastAsia"/>
                <w:spacing w:val="-6"/>
                <w:szCs w:val="21"/>
              </w:rPr>
              <w:t>噪声伤害、</w:t>
            </w:r>
            <w:r w:rsidRPr="005511A4">
              <w:rPr>
                <w:rFonts w:ascii="宋体" w:hAnsi="宋体" w:cs="Arial" w:hint="eastAsia"/>
                <w:spacing w:val="-6"/>
                <w:szCs w:val="21"/>
              </w:rPr>
              <w:t>机械伤害、粉尘伤害等</w:t>
            </w:r>
            <w:r>
              <w:rPr>
                <w:rFonts w:ascii="宋体" w:hAnsi="宋体" w:cs="Arial"/>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B/0版，管理体系于2020.1.10建立并正式实施。另编制程序文件26个，版本号：B/0，2020年1月10日实施；制作了作业指导书；建立有外来文件清单，收集法律法规和技术标准、规范，建立环境、职业健康安全法律法规和其他要求清单。</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5511A4" w:rsidRPr="00986A7B"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 xml:space="preserve">生产工艺流程如下： </w:t>
            </w:r>
          </w:p>
          <w:p w:rsidR="005511A4" w:rsidRPr="00986A7B" w:rsidRDefault="00A4392D"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4392D">
              <w:rPr>
                <w:rFonts w:ascii="宋体" w:hAnsi="宋体" w:cs="Arial" w:hint="eastAsia"/>
                <w:spacing w:val="-6"/>
                <w:szCs w:val="21"/>
              </w:rPr>
              <w:t>混料→上料→熔融→挤出→冷却定型→牵引切割→检验→入库</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体系自去年至今年运行正常</w:t>
            </w:r>
            <w:r w:rsidR="00A4392D">
              <w:rPr>
                <w:rFonts w:ascii="宋体" w:hAnsi="宋体" w:cs="Arial" w:hint="eastAsia"/>
                <w:spacing w:val="-6"/>
                <w:szCs w:val="21"/>
              </w:rPr>
              <w:t>;工艺无变更</w:t>
            </w:r>
            <w:r>
              <w:rPr>
                <w:rFonts w:ascii="宋体" w:hAnsi="宋体" w:cs="Arial" w:hint="eastAsia"/>
                <w:spacing w:val="-6"/>
                <w:szCs w:val="21"/>
              </w:rPr>
              <w:t>。</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管理体系范围确认：同去年一样，无变更。</w:t>
            </w:r>
          </w:p>
          <w:p w:rsidR="00DD43F0" w:rsidRPr="00DD43F0" w:rsidRDefault="00DD43F0" w:rsidP="00DD43F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DD43F0">
              <w:rPr>
                <w:rFonts w:ascii="宋体" w:hAnsi="宋体" w:cs="Arial" w:hint="eastAsia"/>
                <w:spacing w:val="-6"/>
                <w:szCs w:val="21"/>
              </w:rPr>
              <w:t>Q：PVC电力管道、非开挖电力管道、通信管道的制造；PE缠绕管道、化粪池的销售</w:t>
            </w:r>
          </w:p>
          <w:p w:rsidR="00DD43F0" w:rsidRPr="00DD43F0" w:rsidRDefault="00DD43F0" w:rsidP="00DD43F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DD43F0">
              <w:rPr>
                <w:rFonts w:ascii="宋体" w:hAnsi="宋体" w:cs="Arial" w:hint="eastAsia"/>
                <w:spacing w:val="-6"/>
                <w:szCs w:val="21"/>
              </w:rPr>
              <w:t>E：PVC电力管道、非开挖电力管道、通信管道的制造；PE缠绕管道、化粪池的销售所涉及场所的相关环境管理活动。</w:t>
            </w:r>
          </w:p>
          <w:p w:rsidR="00DD43F0" w:rsidRDefault="00DD43F0" w:rsidP="00DD43F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DD43F0">
              <w:rPr>
                <w:rFonts w:ascii="宋体" w:hAnsi="宋体" w:cs="Arial" w:hint="eastAsia"/>
                <w:spacing w:val="-6"/>
                <w:szCs w:val="21"/>
              </w:rPr>
              <w:t>O：PVC电力管道、非开挖电力管道、通信管道的制造；PE缠绕管道、化粪池的销售所涉及场所的相关职业健康安全管理活动。</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sidR="00A4392D">
              <w:rPr>
                <w:rFonts w:ascii="宋体" w:hAnsi="宋体" w:cs="Arial"/>
                <w:spacing w:val="-6"/>
                <w:szCs w:val="21"/>
              </w:rPr>
              <w:t>ISO</w:t>
            </w:r>
            <w:r w:rsidR="00A4392D">
              <w:rPr>
                <w:rFonts w:ascii="宋体" w:hAnsi="宋体" w:cs="Arial" w:hint="eastAsia"/>
                <w:spacing w:val="-6"/>
                <w:szCs w:val="21"/>
              </w:rPr>
              <w:t>9001标准8.3条款</w:t>
            </w:r>
            <w:r>
              <w:rPr>
                <w:rFonts w:ascii="宋体" w:hAnsi="宋体" w:cs="Arial"/>
                <w:spacing w:val="-6"/>
                <w:szCs w:val="21"/>
              </w:rPr>
              <w:t>。</w:t>
            </w:r>
            <w:r w:rsidR="00A4392D">
              <w:rPr>
                <w:rFonts w:ascii="宋体" w:hAnsi="宋体" w:cs="Arial" w:hint="eastAsia"/>
                <w:spacing w:val="-6"/>
                <w:szCs w:val="21"/>
              </w:rPr>
              <w:t>公司按照国家标准、行业标准、企业规范及客户提供的要求，</w:t>
            </w:r>
            <w:r w:rsidR="00A4392D" w:rsidRPr="00A4392D">
              <w:rPr>
                <w:rFonts w:ascii="宋体" w:hAnsi="宋体" w:cs="Arial" w:hint="eastAsia"/>
                <w:spacing w:val="-6"/>
                <w:szCs w:val="21"/>
              </w:rPr>
              <w:t>按照传统工艺提供生产和服务，不需进行产品的设计和开发，其生产过程不涉及GB/T19001-2016/ISO 9001：2015标准中8.3条款内容，其不适用的要求不影响组织确保其产品和服务合格的能力和责任，对增强顾客满意也不会产生影响，不适用合理。</w:t>
            </w:r>
          </w:p>
          <w:p w:rsidR="005511A4" w:rsidRDefault="005511A4"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5511A4" w:rsidRPr="00427512" w:rsidRDefault="00A4392D" w:rsidP="007757F3">
            <w:pPr>
              <w:rPr>
                <w:sz w:val="24"/>
                <w:szCs w:val="24"/>
              </w:rPr>
            </w:pPr>
            <w:r>
              <w:rPr>
                <w:sz w:val="24"/>
                <w:szCs w:val="24"/>
              </w:rPr>
              <w:lastRenderedPageBreak/>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管理方针</w:t>
            </w:r>
          </w:p>
          <w:p w:rsidR="009C159C" w:rsidRDefault="009C159C" w:rsidP="00E07A59">
            <w:r>
              <w:rPr>
                <w:rFonts w:ascii="宋体" w:hAnsi="宋体" w:cs="Arial" w:hint="eastAsia"/>
                <w:spacing w:val="-6"/>
                <w:szCs w:val="21"/>
              </w:rPr>
              <w:t>目标及其实现的策划</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QEO:5.2</w:t>
            </w:r>
          </w:p>
          <w:p w:rsidR="009C159C" w:rsidRDefault="009C159C" w:rsidP="00E07A59">
            <w:pPr>
              <w:jc w:val="center"/>
              <w:rPr>
                <w:rFonts w:ascii="宋体" w:hAnsi="宋体" w:cs="Arial"/>
                <w:spacing w:val="-6"/>
                <w:szCs w:val="21"/>
              </w:rPr>
            </w:pPr>
            <w:r>
              <w:rPr>
                <w:rFonts w:ascii="宋体" w:hAnsi="宋体" w:cs="Arial" w:hint="eastAsia"/>
                <w:spacing w:val="-6"/>
                <w:szCs w:val="21"/>
              </w:rPr>
              <w:t>6.2</w:t>
            </w:r>
          </w:p>
        </w:tc>
        <w:tc>
          <w:tcPr>
            <w:tcW w:w="10004" w:type="dxa"/>
          </w:tcPr>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 xml:space="preserve">质量至上、持续创新、诚实守信、顾客至上 </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预防为主，降低风险；遵章守法，创造和谐</w:t>
            </w:r>
            <w:r w:rsidRPr="007B3917">
              <w:rPr>
                <w:rFonts w:ascii="宋体" w:hAnsi="宋体" w:cs="Arial" w:hint="eastAsia"/>
                <w:spacing w:val="-6"/>
                <w:szCs w:val="21"/>
              </w:rPr>
              <w:t>。</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质量目标：产品一次交验合格率≥98.5%；</w:t>
            </w:r>
          </w:p>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 xml:space="preserve">          客户满意度大于95分； </w:t>
            </w:r>
          </w:p>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环境目标：固体废弃物分类处置率100%；</w:t>
            </w:r>
          </w:p>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 xml:space="preserve">职业健康安全目标： 火灾事故为0,  </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保留“管理目标/指标分解考核表”，显示对管理目标进行了分解，2021年1月-6月所有目标均已完成。</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资源总则</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Q：7.1.1</w:t>
            </w:r>
          </w:p>
          <w:p w:rsidR="009C159C" w:rsidRDefault="009C159C" w:rsidP="00E07A59">
            <w:pPr>
              <w:jc w:val="center"/>
              <w:rPr>
                <w:rFonts w:ascii="宋体" w:hAnsi="宋体" w:cs="Arial"/>
                <w:spacing w:val="-6"/>
                <w:szCs w:val="21"/>
              </w:rPr>
            </w:pPr>
            <w:r>
              <w:rPr>
                <w:rFonts w:ascii="宋体" w:hAnsi="宋体" w:cs="Arial" w:hint="eastAsia"/>
                <w:spacing w:val="-6"/>
                <w:szCs w:val="21"/>
              </w:rPr>
              <w:t>EO:7.1</w:t>
            </w:r>
          </w:p>
        </w:tc>
        <w:tc>
          <w:tcPr>
            <w:tcW w:w="10004" w:type="dxa"/>
          </w:tcPr>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Pr>
                <w:rFonts w:ascii="宋体" w:hAnsi="宋体" w:cs="Arial" w:hint="eastAsia"/>
                <w:spacing w:val="-6"/>
                <w:szCs w:val="21"/>
              </w:rPr>
              <w:t>6018</w:t>
            </w:r>
            <w:r w:rsidRPr="0043637A">
              <w:rPr>
                <w:rFonts w:ascii="宋体" w:hAnsi="宋体" w:cs="Arial" w:hint="eastAsia"/>
                <w:spacing w:val="-6"/>
                <w:szCs w:val="21"/>
              </w:rPr>
              <w:t>万元，主要进行</w:t>
            </w:r>
            <w:r w:rsidRPr="009C159C">
              <w:rPr>
                <w:rFonts w:ascii="宋体" w:hAnsi="宋体" w:cs="Arial" w:hint="eastAsia"/>
                <w:spacing w:val="-6"/>
                <w:szCs w:val="21"/>
              </w:rPr>
              <w:t>PVC电力管道、非开挖电力管道、通信管道、PE给水管道的制造；PE缠绕管道、化粪池的销售</w:t>
            </w:r>
            <w:r w:rsidRPr="0043637A">
              <w:rPr>
                <w:rFonts w:ascii="宋体" w:hAnsi="宋体" w:cs="Arial" w:hint="eastAsia"/>
                <w:spacing w:val="-6"/>
                <w:szCs w:val="21"/>
              </w:rPr>
              <w:t>。</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公司部门设置有：办公室、销售</w:t>
            </w:r>
            <w:r w:rsidRPr="0011112B">
              <w:rPr>
                <w:rFonts w:ascii="宋体" w:hAnsi="宋体" w:cs="Arial" w:hint="eastAsia"/>
                <w:spacing w:val="-6"/>
                <w:szCs w:val="21"/>
              </w:rPr>
              <w:t>部、</w:t>
            </w:r>
            <w:r>
              <w:rPr>
                <w:rFonts w:ascii="宋体" w:hAnsi="宋体" w:cs="Arial" w:hint="eastAsia"/>
                <w:spacing w:val="-6"/>
                <w:szCs w:val="21"/>
              </w:rPr>
              <w:t>采购部、生产部等部门</w:t>
            </w:r>
            <w:r w:rsidRPr="0011112B">
              <w:rPr>
                <w:rFonts w:ascii="宋体" w:hAnsi="宋体" w:cs="Arial" w:hint="eastAsia"/>
                <w:spacing w:val="-6"/>
                <w:szCs w:val="21"/>
              </w:rPr>
              <w:t>；共约</w:t>
            </w:r>
            <w:r>
              <w:rPr>
                <w:rFonts w:ascii="宋体" w:hAnsi="宋体" w:cs="Arial" w:hint="eastAsia"/>
                <w:spacing w:val="-6"/>
                <w:szCs w:val="21"/>
              </w:rPr>
              <w:t>35</w:t>
            </w:r>
            <w:r w:rsidRPr="0011112B">
              <w:rPr>
                <w:rFonts w:ascii="宋体" w:hAnsi="宋体" w:cs="Arial" w:hint="eastAsia"/>
                <w:spacing w:val="-6"/>
                <w:szCs w:val="21"/>
              </w:rPr>
              <w:t>人左右。</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公司主要设备包括：粉碎机、造粒机、混料机、挤出机、牵引机、切割机、叉车</w:t>
            </w:r>
            <w:r w:rsidRPr="00DE209C">
              <w:rPr>
                <w:rFonts w:ascii="宋体" w:hAnsi="宋体" w:cs="Arial" w:hint="eastAsia"/>
                <w:spacing w:val="-6"/>
                <w:szCs w:val="21"/>
              </w:rPr>
              <w:t>、办公桌、电脑、</w:t>
            </w:r>
            <w:r w:rsidRPr="00A1305A">
              <w:rPr>
                <w:rFonts w:ascii="宋体" w:hAnsi="宋体" w:cs="Arial" w:hint="eastAsia"/>
                <w:spacing w:val="-6"/>
                <w:szCs w:val="21"/>
              </w:rPr>
              <w:t>电话、手推车、Wifi等</w:t>
            </w:r>
            <w:r>
              <w:rPr>
                <w:rFonts w:ascii="宋体" w:hAnsi="宋体" w:cs="Arial" w:hint="eastAsia"/>
                <w:spacing w:val="-6"/>
                <w:szCs w:val="21"/>
              </w:rPr>
              <w:t>，监视和测量仪器主要有：</w:t>
            </w:r>
            <w:r w:rsidRPr="009C159C">
              <w:rPr>
                <w:rFonts w:ascii="宋体" w:hAnsi="宋体" w:cs="Arial" w:hint="eastAsia"/>
                <w:spacing w:val="-6"/>
                <w:szCs w:val="21"/>
              </w:rPr>
              <w:t>电子万能试验机、落锤冲击试验机、维卡软化温度测试器、电子密度天平、熔体流动速率测定仪、数显卡尺、电热鼓风干燥箱</w:t>
            </w:r>
            <w:r w:rsidRPr="00DB2765">
              <w:rPr>
                <w:rFonts w:ascii="宋体" w:hAnsi="宋体" w:cs="Arial" w:hint="eastAsia"/>
                <w:spacing w:val="-6"/>
                <w:szCs w:val="21"/>
              </w:rPr>
              <w:t>等</w:t>
            </w:r>
            <w:r>
              <w:rPr>
                <w:rFonts w:ascii="宋体" w:hAnsi="宋体" w:cs="Arial" w:hint="eastAsia"/>
                <w:spacing w:val="-6"/>
                <w:szCs w:val="21"/>
              </w:rPr>
              <w:t>；</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确认公司目前人力资源、基础设施、销售人员、财力、信息等资源均能保证。公司厂房，库房、行政部、会议室，现场配备了灭火器、消防栓等消防安全设备，能保证企业正常办公。</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9C159C" w:rsidRDefault="009C159C" w:rsidP="00E07A59">
            <w:r>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沟通/信息交流</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QEO:7.4</w:t>
            </w:r>
          </w:p>
        </w:tc>
        <w:tc>
          <w:tcPr>
            <w:tcW w:w="10004" w:type="dxa"/>
          </w:tcPr>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现场查见会议记录、通知通报、培训记录、文件签收等组织内部培训方式相关记录。</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管理评审</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QEO:9.3</w:t>
            </w:r>
          </w:p>
        </w:tc>
        <w:tc>
          <w:tcPr>
            <w:tcW w:w="10004" w:type="dxa"/>
          </w:tcPr>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2021年6月21日召开管理评审会议，由总经理</w:t>
            </w:r>
            <w:r w:rsidRPr="009C159C">
              <w:rPr>
                <w:rFonts w:ascii="宋体" w:hAnsi="宋体" w:cs="Arial" w:hint="eastAsia"/>
                <w:spacing w:val="-6"/>
                <w:szCs w:val="21"/>
              </w:rPr>
              <w:t>陈其</w:t>
            </w:r>
            <w:r>
              <w:rPr>
                <w:rFonts w:ascii="宋体" w:hAnsi="宋体" w:cs="Arial" w:hint="eastAsia"/>
                <w:spacing w:val="-6"/>
                <w:szCs w:val="21"/>
              </w:rPr>
              <w:t>主持；</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bookmarkEnd w:id="0"/>
          <w:p w:rsidR="009C159C" w:rsidRP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1）加强对产品标准知识的学习；</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2）加强环境、安全生产管理。</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已拟制改善计划，并逐步实施中。</w:t>
            </w:r>
          </w:p>
          <w:p w:rsidR="00BF4F9B" w:rsidRDefault="00BF4F9B" w:rsidP="00DD43F0">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Pr="00BF4F9B">
              <w:rPr>
                <w:rFonts w:ascii="宋体" w:hAnsi="宋体" w:hint="eastAsia"/>
                <w:szCs w:val="21"/>
              </w:rPr>
              <w:t>进一步提高员工质量意识，针对公司检验人员、操作人员组织工艺文件、操作规程培训，加强质量考核</w:t>
            </w:r>
            <w:r w:rsidRPr="00976AFA">
              <w:rPr>
                <w:rFonts w:ascii="宋体" w:hAnsi="宋体" w:hint="eastAsia"/>
                <w:szCs w:val="21"/>
              </w:rPr>
              <w:t>；</w:t>
            </w:r>
            <w:r>
              <w:rPr>
                <w:rFonts w:ascii="宋体" w:hAnsi="宋体" w:hint="eastAsia"/>
                <w:szCs w:val="21"/>
              </w:rPr>
              <w:t>已由办公室及生产品部实施并完成。</w:t>
            </w:r>
          </w:p>
          <w:p w:rsidR="009C159C" w:rsidRDefault="009C159C" w:rsidP="00DD43F0">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改进</w:t>
            </w:r>
          </w:p>
          <w:p w:rsidR="009C159C" w:rsidRDefault="009C159C" w:rsidP="00E07A59">
            <w:pPr>
              <w:rPr>
                <w:rFonts w:ascii="宋体" w:hAnsi="宋体" w:cs="Arial"/>
                <w:spacing w:val="-6"/>
                <w:szCs w:val="21"/>
              </w:rPr>
            </w:pPr>
            <w:r>
              <w:rPr>
                <w:rFonts w:ascii="宋体" w:hAnsi="宋体" w:cs="Arial" w:hint="eastAsia"/>
                <w:spacing w:val="-6"/>
                <w:szCs w:val="21"/>
              </w:rPr>
              <w:t>持续改进</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QEO:10.1</w:t>
            </w:r>
          </w:p>
          <w:p w:rsidR="009C159C" w:rsidRDefault="009C159C" w:rsidP="00E07A59">
            <w:pPr>
              <w:jc w:val="center"/>
              <w:rPr>
                <w:rFonts w:ascii="宋体" w:hAnsi="宋体" w:cs="Arial"/>
                <w:spacing w:val="-6"/>
                <w:szCs w:val="21"/>
              </w:rPr>
            </w:pPr>
            <w:r>
              <w:rPr>
                <w:rFonts w:ascii="宋体" w:hAnsi="宋体" w:cs="Arial" w:hint="eastAsia"/>
                <w:spacing w:val="-6"/>
                <w:szCs w:val="21"/>
              </w:rPr>
              <w:t>10.3</w:t>
            </w:r>
          </w:p>
        </w:tc>
        <w:tc>
          <w:tcPr>
            <w:tcW w:w="10004" w:type="dxa"/>
          </w:tcPr>
          <w:p w:rsidR="009C159C" w:rsidRPr="007B436B" w:rsidRDefault="009C159C" w:rsidP="00DD43F0">
            <w:pPr>
              <w:spacing w:beforeLines="50" w:afterLines="50"/>
              <w:ind w:firstLineChars="200" w:firstLine="396"/>
              <w:rPr>
                <w:rFonts w:ascii="宋体" w:hAnsi="宋体"/>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C159C" w:rsidRPr="00BF4F9B" w:rsidRDefault="00BF4F9B" w:rsidP="00DD43F0">
            <w:pPr>
              <w:adjustRightInd w:val="0"/>
              <w:snapToGrid w:val="0"/>
              <w:spacing w:beforeLines="30" w:afterLines="30" w:line="288" w:lineRule="auto"/>
              <w:ind w:rightChars="50" w:right="105" w:firstLineChars="200" w:firstLine="420"/>
              <w:textAlignment w:val="baseline"/>
              <w:rPr>
                <w:rFonts w:ascii="宋体" w:hAnsi="宋体"/>
                <w:szCs w:val="21"/>
              </w:rPr>
            </w:pPr>
            <w:r w:rsidRPr="007B436B">
              <w:rPr>
                <w:rFonts w:ascii="宋体" w:hAnsi="宋体" w:hint="eastAsia"/>
                <w:szCs w:val="21"/>
              </w:rPr>
              <w:t>查去年管理评审会议决议完成情况，</w:t>
            </w:r>
            <w:r w:rsidRPr="00BF4F9B">
              <w:rPr>
                <w:rFonts w:ascii="宋体" w:hAnsi="宋体" w:hint="eastAsia"/>
                <w:szCs w:val="21"/>
              </w:rPr>
              <w:t>进一步提高员工质量意识，针对公司检验人员、操作人员组织工艺文件、操作规程培训，加强质量考核</w:t>
            </w:r>
            <w:r w:rsidRPr="00976AFA">
              <w:rPr>
                <w:rFonts w:ascii="宋体" w:hAnsi="宋体" w:hint="eastAsia"/>
                <w:szCs w:val="21"/>
              </w:rPr>
              <w:t>；</w:t>
            </w:r>
            <w:r>
              <w:rPr>
                <w:rFonts w:ascii="宋体" w:hAnsi="宋体" w:hint="eastAsia"/>
                <w:szCs w:val="21"/>
              </w:rPr>
              <w:t>已由办公室及生产品部实施并完成。</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协商与参与</w:t>
            </w:r>
          </w:p>
        </w:tc>
        <w:tc>
          <w:tcPr>
            <w:tcW w:w="1311" w:type="dxa"/>
          </w:tcPr>
          <w:p w:rsidR="009C159C" w:rsidRDefault="009C159C" w:rsidP="00E07A59">
            <w:r>
              <w:rPr>
                <w:rFonts w:ascii="宋体" w:hAnsi="宋体" w:cs="Arial" w:hint="eastAsia"/>
                <w:spacing w:val="-6"/>
                <w:szCs w:val="21"/>
              </w:rPr>
              <w:t>O：5.4</w:t>
            </w:r>
          </w:p>
        </w:tc>
        <w:tc>
          <w:tcPr>
            <w:tcW w:w="10004" w:type="dxa"/>
          </w:tcPr>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BF4F9B" w:rsidRPr="00BF4F9B">
              <w:rPr>
                <w:rFonts w:ascii="宋体" w:hAnsi="宋体" w:cs="Arial" w:hint="eastAsia"/>
                <w:spacing w:val="-6"/>
                <w:szCs w:val="21"/>
              </w:rPr>
              <w:t>谭建军</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通过员工代表的积极争取，员工的劳保用品得到合理配备并及时发放；每年为职工体检一次等。</w:t>
            </w:r>
          </w:p>
          <w:p w:rsidR="009C159C" w:rsidRDefault="009C159C" w:rsidP="00DD43F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9C159C" w:rsidRDefault="009C159C" w:rsidP="00E07A59">
            <w:r>
              <w:lastRenderedPageBreak/>
              <w:t>符合</w:t>
            </w:r>
          </w:p>
        </w:tc>
      </w:tr>
      <w:tr w:rsidR="006C7AAC" w:rsidRPr="00427512" w:rsidTr="006C7AAC">
        <w:trPr>
          <w:trHeight w:val="689"/>
        </w:trPr>
        <w:tc>
          <w:tcPr>
            <w:tcW w:w="1809" w:type="dxa"/>
            <w:vAlign w:val="center"/>
          </w:tcPr>
          <w:p w:rsidR="006C7AAC" w:rsidRPr="00440FC6" w:rsidRDefault="006C7AAC" w:rsidP="006C7AAC">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700"/>
        </w:trPr>
        <w:tc>
          <w:tcPr>
            <w:tcW w:w="1809" w:type="dxa"/>
            <w:vAlign w:val="center"/>
          </w:tcPr>
          <w:p w:rsidR="006C7AAC" w:rsidRPr="00440FC6" w:rsidRDefault="006C7AAC" w:rsidP="006C7AAC">
            <w:pPr>
              <w:rPr>
                <w:rFonts w:hAnsi="宋体"/>
                <w:szCs w:val="21"/>
              </w:rPr>
            </w:pPr>
            <w:r w:rsidRPr="00440FC6">
              <w:rPr>
                <w:rFonts w:hAnsi="宋体" w:hint="eastAsia"/>
                <w:szCs w:val="21"/>
              </w:rPr>
              <w:t>上次审核不符合项的验证</w:t>
            </w:r>
          </w:p>
        </w:tc>
        <w:tc>
          <w:tcPr>
            <w:tcW w:w="1311" w:type="dxa"/>
            <w:vAlign w:val="center"/>
          </w:tcPr>
          <w:p w:rsidR="006C7AAC" w:rsidRPr="00440FC6" w:rsidRDefault="006C7AAC" w:rsidP="006C7AAC">
            <w:pPr>
              <w:rPr>
                <w:szCs w:val="21"/>
              </w:rPr>
            </w:pPr>
          </w:p>
        </w:tc>
        <w:tc>
          <w:tcPr>
            <w:tcW w:w="10004" w:type="dxa"/>
            <w:vAlign w:val="center"/>
          </w:tcPr>
          <w:p w:rsidR="00B038EA" w:rsidRPr="00B038EA" w:rsidRDefault="009D2613" w:rsidP="00B038EA">
            <w:pPr>
              <w:snapToGrid w:val="0"/>
              <w:spacing w:line="360" w:lineRule="auto"/>
              <w:ind w:firstLineChars="200" w:firstLine="420"/>
              <w:rPr>
                <w:rFonts w:hAnsi="宋体"/>
                <w:color w:val="000000"/>
                <w:szCs w:val="21"/>
              </w:rPr>
            </w:pPr>
            <w:r w:rsidRPr="00B038EA">
              <w:rPr>
                <w:rFonts w:hAnsi="宋体" w:hint="eastAsia"/>
                <w:color w:val="000000"/>
                <w:szCs w:val="21"/>
              </w:rPr>
              <w:t>上次审核不符合项为：</w:t>
            </w:r>
          </w:p>
          <w:p w:rsidR="00B038EA" w:rsidRPr="00B038EA" w:rsidRDefault="00B038EA" w:rsidP="00B038EA">
            <w:pPr>
              <w:snapToGrid w:val="0"/>
              <w:spacing w:line="360" w:lineRule="auto"/>
              <w:ind w:firstLineChars="200" w:firstLine="420"/>
              <w:rPr>
                <w:rFonts w:hAnsi="宋体"/>
                <w:color w:val="000000"/>
                <w:szCs w:val="21"/>
              </w:rPr>
            </w:pPr>
            <w:r>
              <w:rPr>
                <w:rFonts w:hAnsi="宋体" w:hint="eastAsia"/>
                <w:color w:val="000000"/>
                <w:szCs w:val="21"/>
              </w:rPr>
              <w:t>1</w:t>
            </w:r>
            <w:r>
              <w:rPr>
                <w:rFonts w:hAnsi="宋体" w:hint="eastAsia"/>
                <w:color w:val="000000"/>
                <w:szCs w:val="21"/>
              </w:rPr>
              <w:t>、</w:t>
            </w:r>
            <w:r w:rsidRPr="00B038EA">
              <w:rPr>
                <w:rFonts w:hAnsi="宋体"/>
                <w:color w:val="000000"/>
                <w:szCs w:val="21"/>
              </w:rPr>
              <w:t>现场巡查消防设施时，发现在车间一处</w:t>
            </w:r>
            <w:r w:rsidRPr="00B038EA">
              <w:rPr>
                <w:rFonts w:hAnsi="宋体" w:hint="eastAsia"/>
                <w:color w:val="000000"/>
                <w:szCs w:val="21"/>
              </w:rPr>
              <w:t>消防栓被杂物堵塞消防通道，不符合要求。</w:t>
            </w:r>
          </w:p>
          <w:p w:rsidR="00B038EA" w:rsidRPr="00B038EA" w:rsidRDefault="00B038EA" w:rsidP="00B038EA">
            <w:pPr>
              <w:snapToGrid w:val="0"/>
              <w:spacing w:line="360" w:lineRule="auto"/>
              <w:ind w:firstLineChars="200" w:firstLine="420"/>
              <w:rPr>
                <w:rFonts w:hAnsi="宋体"/>
                <w:color w:val="000000"/>
                <w:szCs w:val="21"/>
              </w:rPr>
            </w:pPr>
            <w:r>
              <w:rPr>
                <w:rFonts w:hAnsi="宋体" w:hint="eastAsia"/>
                <w:color w:val="000000"/>
                <w:szCs w:val="21"/>
              </w:rPr>
              <w:t>2</w:t>
            </w:r>
            <w:r>
              <w:rPr>
                <w:rFonts w:hAnsi="宋体" w:hint="eastAsia"/>
                <w:color w:val="000000"/>
                <w:szCs w:val="21"/>
              </w:rPr>
              <w:t>、</w:t>
            </w:r>
            <w:r w:rsidRPr="00B038EA">
              <w:rPr>
                <w:rFonts w:hAnsi="宋体" w:hint="eastAsia"/>
                <w:color w:val="000000"/>
                <w:szCs w:val="21"/>
              </w:rPr>
              <w:t>2020.9.8</w:t>
            </w:r>
            <w:r w:rsidRPr="00B038EA">
              <w:rPr>
                <w:rFonts w:hAnsi="宋体" w:hint="eastAsia"/>
                <w:color w:val="000000"/>
                <w:szCs w:val="21"/>
              </w:rPr>
              <w:t>从浙江石油化工有限公司采购聚乙烯（</w:t>
            </w:r>
            <w:r w:rsidRPr="00B038EA">
              <w:rPr>
                <w:rFonts w:hAnsi="宋体" w:hint="eastAsia"/>
                <w:color w:val="000000"/>
                <w:szCs w:val="21"/>
              </w:rPr>
              <w:t>PN049</w:t>
            </w:r>
            <w:r w:rsidRPr="00B038EA">
              <w:rPr>
                <w:rFonts w:hAnsi="宋体" w:hint="eastAsia"/>
                <w:color w:val="000000"/>
                <w:szCs w:val="21"/>
              </w:rPr>
              <w:t>）</w:t>
            </w:r>
            <w:r w:rsidRPr="00B038EA">
              <w:rPr>
                <w:rFonts w:hAnsi="宋体" w:hint="eastAsia"/>
                <w:color w:val="000000"/>
                <w:szCs w:val="21"/>
              </w:rPr>
              <w:t>30</w:t>
            </w:r>
            <w:r w:rsidRPr="00B038EA">
              <w:rPr>
                <w:rFonts w:hAnsi="宋体" w:hint="eastAsia"/>
                <w:color w:val="000000"/>
                <w:szCs w:val="21"/>
              </w:rPr>
              <w:t>吨，合格供方名单未见该单位</w:t>
            </w:r>
          </w:p>
          <w:p w:rsidR="006C7AAC" w:rsidRPr="00B038EA" w:rsidRDefault="00BA7090" w:rsidP="00B038EA">
            <w:pPr>
              <w:snapToGrid w:val="0"/>
              <w:spacing w:line="360" w:lineRule="auto"/>
              <w:ind w:firstLineChars="200" w:firstLine="420"/>
              <w:rPr>
                <w:rFonts w:hAnsi="宋体"/>
                <w:szCs w:val="21"/>
              </w:rPr>
            </w:pPr>
            <w:r w:rsidRPr="00B038EA">
              <w:rPr>
                <w:rFonts w:hAnsi="宋体" w:hint="eastAsia"/>
                <w:color w:val="000000"/>
                <w:szCs w:val="21"/>
              </w:rPr>
              <w:t>经本次审核验证</w:t>
            </w:r>
            <w:r w:rsidR="009D2613" w:rsidRPr="00B038EA">
              <w:rPr>
                <w:rFonts w:hAnsi="宋体" w:hint="eastAsia"/>
                <w:color w:val="000000"/>
                <w:szCs w:val="21"/>
              </w:rPr>
              <w:t>无类似不符合情况出现，整改措施有效。</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694"/>
        </w:trPr>
        <w:tc>
          <w:tcPr>
            <w:tcW w:w="1809" w:type="dxa"/>
            <w:vAlign w:val="center"/>
          </w:tcPr>
          <w:p w:rsidR="006C7AAC" w:rsidRPr="00440FC6" w:rsidRDefault="006C7AAC" w:rsidP="006C7AAC">
            <w:pPr>
              <w:rPr>
                <w:rFonts w:hAnsi="宋体"/>
                <w:szCs w:val="21"/>
              </w:rPr>
            </w:pPr>
            <w:r w:rsidRPr="00440FC6">
              <w:rPr>
                <w:rFonts w:hAnsi="宋体" w:hint="eastAsia"/>
                <w:szCs w:val="21"/>
              </w:rPr>
              <w:t>认证证书、标志的使用情况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1399"/>
        </w:trPr>
        <w:tc>
          <w:tcPr>
            <w:tcW w:w="1809" w:type="dxa"/>
            <w:vAlign w:val="center"/>
          </w:tcPr>
          <w:p w:rsidR="006C7AAC" w:rsidRPr="00440FC6" w:rsidRDefault="006C7AAC" w:rsidP="006C7AAC">
            <w:pPr>
              <w:rPr>
                <w:rFonts w:hAnsi="宋体"/>
                <w:szCs w:val="21"/>
              </w:rPr>
            </w:pPr>
            <w:r w:rsidRPr="00440FC6">
              <w:rPr>
                <w:rFonts w:hAnsi="宋体" w:hint="eastAsia"/>
                <w:szCs w:val="21"/>
              </w:rPr>
              <w:t>投诉或事故、监督抽查情况、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994"/>
        </w:trPr>
        <w:tc>
          <w:tcPr>
            <w:tcW w:w="1809" w:type="dxa"/>
            <w:vAlign w:val="center"/>
          </w:tcPr>
          <w:p w:rsidR="006C7AAC" w:rsidRPr="00440FC6" w:rsidRDefault="006C7AAC"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6C7AAC" w:rsidRPr="00440FC6" w:rsidRDefault="006C7AAC" w:rsidP="006C7AAC">
            <w:pPr>
              <w:rPr>
                <w:szCs w:val="21"/>
              </w:rPr>
            </w:pPr>
          </w:p>
        </w:tc>
        <w:tc>
          <w:tcPr>
            <w:tcW w:w="10004" w:type="dxa"/>
            <w:vAlign w:val="center"/>
          </w:tcPr>
          <w:p w:rsidR="006C7AAC" w:rsidRPr="00BA7090" w:rsidRDefault="00DD43F0" w:rsidP="00BA7090">
            <w:pPr>
              <w:snapToGrid w:val="0"/>
              <w:spacing w:line="360" w:lineRule="auto"/>
              <w:ind w:firstLineChars="200" w:firstLine="420"/>
              <w:rPr>
                <w:rFonts w:hAnsi="宋体"/>
                <w:color w:val="000000"/>
                <w:szCs w:val="21"/>
              </w:rPr>
            </w:pPr>
            <w:r>
              <w:rPr>
                <w:rFonts w:hAnsi="宋体"/>
                <w:color w:val="000000"/>
                <w:szCs w:val="21"/>
              </w:rPr>
              <w:t>认证范围减小，减少产品</w:t>
            </w:r>
            <w:r>
              <w:rPr>
                <w:rFonts w:hAnsi="宋体"/>
                <w:color w:val="000000"/>
                <w:szCs w:val="21"/>
              </w:rPr>
              <w:t>PE</w:t>
            </w:r>
            <w:r>
              <w:rPr>
                <w:rFonts w:hAnsi="宋体"/>
                <w:color w:val="000000"/>
                <w:szCs w:val="21"/>
              </w:rPr>
              <w:t>给水管的制造，其他无变更</w:t>
            </w:r>
          </w:p>
        </w:tc>
        <w:tc>
          <w:tcPr>
            <w:tcW w:w="1585" w:type="dxa"/>
          </w:tcPr>
          <w:p w:rsidR="006C7AAC" w:rsidRPr="00427512" w:rsidRDefault="00BF4F9B" w:rsidP="006C7AAC">
            <w:pPr>
              <w:rPr>
                <w:sz w:val="24"/>
                <w:szCs w:val="24"/>
              </w:rPr>
            </w:pPr>
            <w:r>
              <w:rPr>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4D3" w:rsidRDefault="007174D3" w:rsidP="008973EE">
      <w:r>
        <w:separator/>
      </w:r>
    </w:p>
  </w:endnote>
  <w:endnote w:type="continuationSeparator" w:id="1">
    <w:p w:rsidR="007174D3" w:rsidRDefault="007174D3"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612897">
    <w:pPr>
      <w:pStyle w:val="a4"/>
      <w:jc w:val="center"/>
    </w:pPr>
    <w:r>
      <w:rPr>
        <w:b/>
      </w:rPr>
      <w:fldChar w:fldCharType="begin"/>
    </w:r>
    <w:r w:rsidR="005C7367">
      <w:rPr>
        <w:b/>
      </w:rPr>
      <w:instrText>PAGE</w:instrText>
    </w:r>
    <w:r>
      <w:rPr>
        <w:b/>
      </w:rPr>
      <w:fldChar w:fldCharType="separate"/>
    </w:r>
    <w:r w:rsidR="00183DAC">
      <w:rPr>
        <w:b/>
        <w:noProof/>
      </w:rPr>
      <w:t>7</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183DAC">
      <w:rPr>
        <w:b/>
        <w:noProof/>
      </w:rPr>
      <w:t>7</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4D3" w:rsidRDefault="007174D3" w:rsidP="008973EE">
      <w:r>
        <w:separator/>
      </w:r>
    </w:p>
  </w:footnote>
  <w:footnote w:type="continuationSeparator" w:id="1">
    <w:p w:rsidR="007174D3" w:rsidRDefault="007174D3"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612897"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6128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612897"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531E"/>
    <w:rsid w:val="0003373A"/>
    <w:rsid w:val="000412F6"/>
    <w:rsid w:val="00044417"/>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82186"/>
    <w:rsid w:val="00183DAC"/>
    <w:rsid w:val="001918ED"/>
    <w:rsid w:val="00192A7F"/>
    <w:rsid w:val="00194DC7"/>
    <w:rsid w:val="001A2D7F"/>
    <w:rsid w:val="001A3DF8"/>
    <w:rsid w:val="001A572D"/>
    <w:rsid w:val="001B1F4D"/>
    <w:rsid w:val="001D3314"/>
    <w:rsid w:val="001D4AD8"/>
    <w:rsid w:val="001D54FF"/>
    <w:rsid w:val="001E1974"/>
    <w:rsid w:val="001E26D9"/>
    <w:rsid w:val="00202BC2"/>
    <w:rsid w:val="00214113"/>
    <w:rsid w:val="00215081"/>
    <w:rsid w:val="00216DB7"/>
    <w:rsid w:val="00222532"/>
    <w:rsid w:val="00237445"/>
    <w:rsid w:val="00241B63"/>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4C4"/>
    <w:rsid w:val="00382EDD"/>
    <w:rsid w:val="003836CA"/>
    <w:rsid w:val="00386A98"/>
    <w:rsid w:val="00390345"/>
    <w:rsid w:val="003A07E3"/>
    <w:rsid w:val="003A1E9C"/>
    <w:rsid w:val="003C0FC6"/>
    <w:rsid w:val="003C58F5"/>
    <w:rsid w:val="003D6BE3"/>
    <w:rsid w:val="003E0E52"/>
    <w:rsid w:val="003E42C9"/>
    <w:rsid w:val="003F20A5"/>
    <w:rsid w:val="00400B59"/>
    <w:rsid w:val="00400B96"/>
    <w:rsid w:val="00405D5F"/>
    <w:rsid w:val="00410914"/>
    <w:rsid w:val="00415AA3"/>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E5D25"/>
    <w:rsid w:val="004F185D"/>
    <w:rsid w:val="005056ED"/>
    <w:rsid w:val="00517E4C"/>
    <w:rsid w:val="00521CF0"/>
    <w:rsid w:val="0053208B"/>
    <w:rsid w:val="00534814"/>
    <w:rsid w:val="00536930"/>
    <w:rsid w:val="005511A4"/>
    <w:rsid w:val="00551AE7"/>
    <w:rsid w:val="00555A58"/>
    <w:rsid w:val="00556AF4"/>
    <w:rsid w:val="00560A2A"/>
    <w:rsid w:val="00564E53"/>
    <w:rsid w:val="005779A8"/>
    <w:rsid w:val="0058079F"/>
    <w:rsid w:val="00583277"/>
    <w:rsid w:val="005836EF"/>
    <w:rsid w:val="00592C3E"/>
    <w:rsid w:val="005A000F"/>
    <w:rsid w:val="005B173D"/>
    <w:rsid w:val="005B6888"/>
    <w:rsid w:val="005C0F53"/>
    <w:rsid w:val="005C7367"/>
    <w:rsid w:val="005D7FAE"/>
    <w:rsid w:val="005F6C65"/>
    <w:rsid w:val="00600F02"/>
    <w:rsid w:val="0060444D"/>
    <w:rsid w:val="00612897"/>
    <w:rsid w:val="00636710"/>
    <w:rsid w:val="00642776"/>
    <w:rsid w:val="00644FE2"/>
    <w:rsid w:val="00645FB8"/>
    <w:rsid w:val="00651986"/>
    <w:rsid w:val="00653AE3"/>
    <w:rsid w:val="006545E8"/>
    <w:rsid w:val="00664736"/>
    <w:rsid w:val="00665980"/>
    <w:rsid w:val="0067640C"/>
    <w:rsid w:val="006836D9"/>
    <w:rsid w:val="00683D2C"/>
    <w:rsid w:val="006910D6"/>
    <w:rsid w:val="00695256"/>
    <w:rsid w:val="00695570"/>
    <w:rsid w:val="00696AF1"/>
    <w:rsid w:val="006A3B31"/>
    <w:rsid w:val="006A68F3"/>
    <w:rsid w:val="006B4127"/>
    <w:rsid w:val="006C24BF"/>
    <w:rsid w:val="006C40B9"/>
    <w:rsid w:val="006C7AAC"/>
    <w:rsid w:val="006D790F"/>
    <w:rsid w:val="006E678B"/>
    <w:rsid w:val="0070367F"/>
    <w:rsid w:val="00712F3C"/>
    <w:rsid w:val="007170AA"/>
    <w:rsid w:val="007174D3"/>
    <w:rsid w:val="007177FF"/>
    <w:rsid w:val="00725123"/>
    <w:rsid w:val="00732B66"/>
    <w:rsid w:val="00737C8F"/>
    <w:rsid w:val="007406DE"/>
    <w:rsid w:val="00742F4E"/>
    <w:rsid w:val="00743E79"/>
    <w:rsid w:val="00744BEA"/>
    <w:rsid w:val="00751532"/>
    <w:rsid w:val="00751C37"/>
    <w:rsid w:val="0075769B"/>
    <w:rsid w:val="007705C3"/>
    <w:rsid w:val="007757F3"/>
    <w:rsid w:val="007815DC"/>
    <w:rsid w:val="007A47FB"/>
    <w:rsid w:val="007B106B"/>
    <w:rsid w:val="007B275D"/>
    <w:rsid w:val="007E6AEB"/>
    <w:rsid w:val="007F01EC"/>
    <w:rsid w:val="007F0F58"/>
    <w:rsid w:val="007F7DF2"/>
    <w:rsid w:val="008079FA"/>
    <w:rsid w:val="00810D58"/>
    <w:rsid w:val="00830113"/>
    <w:rsid w:val="00835B31"/>
    <w:rsid w:val="008533F3"/>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159C"/>
    <w:rsid w:val="009C74D1"/>
    <w:rsid w:val="009D2613"/>
    <w:rsid w:val="009E30DA"/>
    <w:rsid w:val="009E56DB"/>
    <w:rsid w:val="009E6193"/>
    <w:rsid w:val="009E7DD1"/>
    <w:rsid w:val="009F7EED"/>
    <w:rsid w:val="00A036B5"/>
    <w:rsid w:val="00A138EC"/>
    <w:rsid w:val="00A22676"/>
    <w:rsid w:val="00A4392D"/>
    <w:rsid w:val="00A60F0B"/>
    <w:rsid w:val="00A801DE"/>
    <w:rsid w:val="00A90A22"/>
    <w:rsid w:val="00A97734"/>
    <w:rsid w:val="00A97ADC"/>
    <w:rsid w:val="00AA7F40"/>
    <w:rsid w:val="00AB41FC"/>
    <w:rsid w:val="00AB7D2F"/>
    <w:rsid w:val="00AD6F34"/>
    <w:rsid w:val="00AF0AAB"/>
    <w:rsid w:val="00AF156F"/>
    <w:rsid w:val="00AF616B"/>
    <w:rsid w:val="00B02A7F"/>
    <w:rsid w:val="00B038EA"/>
    <w:rsid w:val="00B0685B"/>
    <w:rsid w:val="00B218ED"/>
    <w:rsid w:val="00B22D22"/>
    <w:rsid w:val="00B23030"/>
    <w:rsid w:val="00B237B9"/>
    <w:rsid w:val="00B23CAA"/>
    <w:rsid w:val="00B410EE"/>
    <w:rsid w:val="00B64A58"/>
    <w:rsid w:val="00B8202D"/>
    <w:rsid w:val="00B929FD"/>
    <w:rsid w:val="00B95B99"/>
    <w:rsid w:val="00B95F69"/>
    <w:rsid w:val="00BA7090"/>
    <w:rsid w:val="00BA76FA"/>
    <w:rsid w:val="00BC2015"/>
    <w:rsid w:val="00BC71B0"/>
    <w:rsid w:val="00BD0CE3"/>
    <w:rsid w:val="00BD4E23"/>
    <w:rsid w:val="00BF28CD"/>
    <w:rsid w:val="00BF4F9B"/>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22F86"/>
    <w:rsid w:val="00D3392D"/>
    <w:rsid w:val="00D429D7"/>
    <w:rsid w:val="00D44C1E"/>
    <w:rsid w:val="00D54940"/>
    <w:rsid w:val="00D55E69"/>
    <w:rsid w:val="00D562F6"/>
    <w:rsid w:val="00D8388C"/>
    <w:rsid w:val="00D924DD"/>
    <w:rsid w:val="00DA0DF0"/>
    <w:rsid w:val="00DA32AB"/>
    <w:rsid w:val="00DA50ED"/>
    <w:rsid w:val="00DB5DEA"/>
    <w:rsid w:val="00DD1C8E"/>
    <w:rsid w:val="00DD43F0"/>
    <w:rsid w:val="00DE146D"/>
    <w:rsid w:val="00DE2D80"/>
    <w:rsid w:val="00DE6FCE"/>
    <w:rsid w:val="00DF76DB"/>
    <w:rsid w:val="00E038E4"/>
    <w:rsid w:val="00E03908"/>
    <w:rsid w:val="00E1234A"/>
    <w:rsid w:val="00E13D9A"/>
    <w:rsid w:val="00E27792"/>
    <w:rsid w:val="00E32D13"/>
    <w:rsid w:val="00E437F9"/>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dcterms:created xsi:type="dcterms:W3CDTF">2019-05-18T04:55:00Z</dcterms:created>
  <dcterms:modified xsi:type="dcterms:W3CDTF">2021-08-24T02:46:00Z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