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2174"/>
        <w:gridCol w:w="14"/>
        <w:gridCol w:w="922"/>
        <w:gridCol w:w="745"/>
        <w:gridCol w:w="9523"/>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5" w:hRule="atLeast"/>
        </w:trPr>
        <w:tc>
          <w:tcPr>
            <w:tcW w:w="2174"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gridSpan w:val="2"/>
            <w:vMerge w:val="restart"/>
            <w:vAlign w:val="center"/>
          </w:tcPr>
          <w:p>
            <w:pPr>
              <w:rPr>
                <w:sz w:val="24"/>
                <w:szCs w:val="24"/>
              </w:rPr>
            </w:pPr>
            <w:r>
              <w:rPr>
                <w:sz w:val="24"/>
                <w:szCs w:val="24"/>
              </w:rPr>
              <w:t>涉及</w:t>
            </w:r>
          </w:p>
          <w:p>
            <w:r>
              <w:rPr>
                <w:sz w:val="24"/>
                <w:szCs w:val="24"/>
              </w:rPr>
              <w:t>条款</w:t>
            </w:r>
          </w:p>
        </w:tc>
        <w:tc>
          <w:tcPr>
            <w:tcW w:w="10268" w:type="dxa"/>
            <w:gridSpan w:val="2"/>
            <w:vAlign w:val="center"/>
          </w:tcPr>
          <w:p>
            <w:pPr>
              <w:rPr>
                <w:rFonts w:hint="eastAsia" w:eastAsia="宋体"/>
                <w:sz w:val="24"/>
                <w:szCs w:val="24"/>
                <w:lang w:val="en-US" w:eastAsia="zh-CN"/>
              </w:rPr>
            </w:pPr>
            <w:r>
              <w:rPr>
                <w:sz w:val="24"/>
                <w:szCs w:val="24"/>
              </w:rPr>
              <w:t xml:space="preserve">受审核部门：食品安全小组         </w:t>
            </w:r>
            <w:r>
              <w:rPr>
                <w:color w:val="000000"/>
                <w:sz w:val="24"/>
                <w:szCs w:val="24"/>
              </w:rPr>
              <w:t>主管领导：</w:t>
            </w:r>
            <w:r>
              <w:rPr>
                <w:rFonts w:hint="eastAsia"/>
                <w:color w:val="000000"/>
                <w:sz w:val="24"/>
                <w:szCs w:val="24"/>
                <w:lang w:val="en-US" w:eastAsia="zh-CN"/>
              </w:rPr>
              <w:t xml:space="preserve">贾正武   </w:t>
            </w:r>
            <w:r>
              <w:rPr>
                <w:color w:val="000000"/>
                <w:sz w:val="24"/>
                <w:szCs w:val="24"/>
              </w:rPr>
              <w:t xml:space="preserve">  陪同人员：</w:t>
            </w:r>
            <w:r>
              <w:rPr>
                <w:rFonts w:hint="eastAsia"/>
                <w:color w:val="000000"/>
                <w:sz w:val="24"/>
                <w:szCs w:val="24"/>
                <w:lang w:val="en-US" w:eastAsia="zh-CN"/>
              </w:rPr>
              <w:t>薛海峰</w:t>
            </w:r>
          </w:p>
        </w:tc>
        <w:tc>
          <w:tcPr>
            <w:tcW w:w="1290"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03" w:hRule="atLeast"/>
        </w:trPr>
        <w:tc>
          <w:tcPr>
            <w:tcW w:w="2174" w:type="dxa"/>
            <w:vMerge w:val="continue"/>
            <w:vAlign w:val="center"/>
          </w:tcPr>
          <w:p/>
        </w:tc>
        <w:tc>
          <w:tcPr>
            <w:tcW w:w="936" w:type="dxa"/>
            <w:gridSpan w:val="2"/>
            <w:vMerge w:val="continue"/>
            <w:vAlign w:val="center"/>
          </w:tcPr>
          <w:p/>
        </w:tc>
        <w:tc>
          <w:tcPr>
            <w:tcW w:w="10268" w:type="dxa"/>
            <w:gridSpan w:val="2"/>
            <w:vAlign w:val="center"/>
          </w:tcPr>
          <w:p>
            <w:pPr>
              <w:spacing w:before="120"/>
              <w:rPr>
                <w:rFonts w:hint="default" w:eastAsia="宋体"/>
                <w:lang w:val="en-US" w:eastAsia="zh-CN"/>
              </w:rPr>
            </w:pPr>
            <w:r>
              <w:rPr>
                <w:sz w:val="24"/>
                <w:szCs w:val="24"/>
              </w:rPr>
              <w:t>审核员：</w:t>
            </w:r>
            <w:r>
              <w:rPr>
                <w:rFonts w:hint="eastAsia"/>
                <w:sz w:val="24"/>
                <w:szCs w:val="24"/>
                <w:lang w:val="en-US" w:eastAsia="zh-CN"/>
              </w:rPr>
              <w:t>肖新龙</w:t>
            </w:r>
            <w:r>
              <w:rPr>
                <w:sz w:val="24"/>
                <w:szCs w:val="24"/>
              </w:rPr>
              <w:t xml:space="preserve"> </w:t>
            </w:r>
            <w:r>
              <w:rPr>
                <w:rFonts w:hint="eastAsia"/>
                <w:sz w:val="24"/>
                <w:szCs w:val="24"/>
              </w:rPr>
              <w:t xml:space="preserve">     </w:t>
            </w:r>
            <w:r>
              <w:rPr>
                <w:sz w:val="24"/>
                <w:szCs w:val="24"/>
              </w:rPr>
              <w:t xml:space="preserve">   审核日期：2021-0</w:t>
            </w:r>
            <w:r>
              <w:rPr>
                <w:rFonts w:hint="eastAsia"/>
                <w:sz w:val="24"/>
                <w:szCs w:val="24"/>
                <w:lang w:val="en-US" w:eastAsia="zh-CN"/>
              </w:rPr>
              <w:t>8-24</w:t>
            </w: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6" w:hRule="atLeast"/>
        </w:trPr>
        <w:tc>
          <w:tcPr>
            <w:tcW w:w="2174" w:type="dxa"/>
            <w:vMerge w:val="continue"/>
            <w:vAlign w:val="center"/>
          </w:tcPr>
          <w:p/>
        </w:tc>
        <w:tc>
          <w:tcPr>
            <w:tcW w:w="936" w:type="dxa"/>
            <w:gridSpan w:val="2"/>
            <w:vMerge w:val="continue"/>
            <w:vAlign w:val="center"/>
          </w:tcPr>
          <w:p/>
        </w:tc>
        <w:tc>
          <w:tcPr>
            <w:tcW w:w="10268" w:type="dxa"/>
            <w:gridSpan w:val="2"/>
            <w:vAlign w:val="center"/>
          </w:tcPr>
          <w:p>
            <w:pPr>
              <w:tabs>
                <w:tab w:val="left" w:pos="6030"/>
              </w:tabs>
              <w:autoSpaceDE w:val="0"/>
              <w:autoSpaceDN w:val="0"/>
              <w:adjustRightInd w:val="0"/>
              <w:jc w:val="left"/>
              <w:rPr>
                <w:rFonts w:hint="default" w:eastAsia="宋体"/>
                <w:lang w:val="en-US" w:eastAsia="zh-CN"/>
              </w:rPr>
            </w:pPr>
            <w:r>
              <w:t>审核条款：FSMS:5.3/7.1.5/8.1/8.2/8.3/8.4/8.5/8.6/8.8</w:t>
            </w:r>
            <w:r>
              <w:rPr>
                <w:rFonts w:hint="eastAsia"/>
                <w:lang w:val="en-US" w:eastAsia="zh-CN"/>
              </w:rPr>
              <w:t>/8.9.5</w:t>
            </w: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43" w:hRule="atLeast"/>
        </w:trPr>
        <w:tc>
          <w:tcPr>
            <w:tcW w:w="2174" w:type="dxa"/>
            <w:vMerge w:val="restart"/>
          </w:tcPr>
          <w:p>
            <w:r>
              <w:t>组织的角色、职责和权限</w:t>
            </w:r>
          </w:p>
        </w:tc>
        <w:tc>
          <w:tcPr>
            <w:tcW w:w="936" w:type="dxa"/>
            <w:gridSpan w:val="2"/>
            <w:vMerge w:val="restart"/>
          </w:tcPr>
          <w:p>
            <w:r>
              <w:t>F5.3</w:t>
            </w:r>
          </w:p>
        </w:tc>
        <w:tc>
          <w:tcPr>
            <w:tcW w:w="745" w:type="dxa"/>
          </w:tcPr>
          <w:p>
            <w:r>
              <w:t>文件名称</w:t>
            </w:r>
          </w:p>
        </w:tc>
        <w:tc>
          <w:tcPr>
            <w:tcW w:w="9523" w:type="dxa"/>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1290" w:type="dxa"/>
            <w:vMerge w:val="restart"/>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900" w:hRule="atLeast"/>
        </w:trPr>
        <w:tc>
          <w:tcPr>
            <w:tcW w:w="2174" w:type="dxa"/>
            <w:vMerge w:val="continue"/>
          </w:tcPr>
          <w:p/>
        </w:tc>
        <w:tc>
          <w:tcPr>
            <w:tcW w:w="936" w:type="dxa"/>
            <w:gridSpan w:val="2"/>
            <w:vMerge w:val="continue"/>
          </w:tcPr>
          <w:p/>
        </w:tc>
        <w:tc>
          <w:tcPr>
            <w:tcW w:w="745" w:type="dxa"/>
          </w:tcPr>
          <w:p>
            <w:r>
              <w:t>运行证据</w:t>
            </w:r>
          </w:p>
        </w:tc>
        <w:tc>
          <w:tcPr>
            <w:tcW w:w="9523" w:type="dxa"/>
          </w:tcPr>
          <w:p>
            <w:r>
              <w:t>有食品安全小组名单，包括了</w:t>
            </w:r>
            <w:r>
              <w:rPr>
                <w:rFonts w:hint="eastAsia"/>
              </w:rPr>
              <w:t xml:space="preserve"> </w:t>
            </w:r>
            <w:r>
              <w:rPr>
                <w:rFonts w:hint="eastAsia"/>
                <w:bCs/>
                <w:u w:val="single"/>
                <w:lang w:val="en-US" w:eastAsia="zh-CN"/>
              </w:rPr>
              <w:t>行政部、生产部、品管部、采购部、销售部</w:t>
            </w:r>
            <w:r>
              <w:rPr>
                <w:rFonts w:hint="eastAsia"/>
                <w:bCs/>
                <w:u w:val="single"/>
              </w:rPr>
              <w:t xml:space="preserve"> </w:t>
            </w:r>
            <w:r>
              <w:t>的人员</w:t>
            </w:r>
          </w:p>
          <w:p>
            <w:r>
              <w:t>公司在手册和《</w:t>
            </w:r>
            <w:r>
              <w:rPr>
                <w:rFonts w:hint="eastAsia"/>
                <w:lang w:val="en-US" w:eastAsia="zh-CN"/>
              </w:rPr>
              <w:t>危害控制</w:t>
            </w:r>
            <w:r>
              <w:t>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ascii="宋体" w:hAnsi="宋体"/>
                <w:szCs w:val="21"/>
                <w:u w:val="single"/>
                <w:lang w:val="en-US" w:eastAsia="zh-CN"/>
              </w:rPr>
              <w:t xml:space="preserve">贾正武 </w:t>
            </w:r>
            <w:r>
              <w:t>，基本清楚。</w:t>
            </w:r>
          </w:p>
          <w:p>
            <w:pPr>
              <w:pStyle w:val="11"/>
              <w:rPr>
                <w:rFonts w:ascii="Times New Roman" w:hAnsi="Times New Roman"/>
              </w:rPr>
            </w:pPr>
          </w:p>
          <w:p>
            <w:r>
              <w:fldChar w:fldCharType="begin"/>
            </w:r>
            <w:r>
              <w:instrText xml:space="preserve"> eq \o\ac(□,√)</w:instrText>
            </w:r>
            <w:r>
              <w:fldChar w:fldCharType="end"/>
            </w:r>
            <w:r>
              <w:rPr>
                <w:rFonts w:hint="eastAsia"/>
                <w:lang w:val="en-US" w:eastAsia="zh-CN"/>
              </w:rPr>
              <w:t>食品安全</w:t>
            </w:r>
            <w:r>
              <w:t>小组长：</w:t>
            </w:r>
            <w:r>
              <w:rPr>
                <w:rFonts w:hint="eastAsia"/>
                <w:u w:val="single"/>
                <w:lang w:val="en-US" w:eastAsia="zh-CN"/>
              </w:rPr>
              <w:t>贾正武 先生</w:t>
            </w:r>
            <w:r>
              <w:rPr>
                <w:u w:val="single"/>
              </w:rPr>
              <w:t xml:space="preserve">    </w:t>
            </w:r>
            <w: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615" w:hRule="atLeast"/>
        </w:trPr>
        <w:tc>
          <w:tcPr>
            <w:tcW w:w="2174" w:type="dxa"/>
            <w:vMerge w:val="restart"/>
            <w:shd w:val="clear" w:color="auto" w:fill="auto"/>
          </w:tcPr>
          <w:p>
            <w:r>
              <w:t>食品安全管理体系外部建立的要素</w:t>
            </w:r>
          </w:p>
        </w:tc>
        <w:tc>
          <w:tcPr>
            <w:tcW w:w="936" w:type="dxa"/>
            <w:gridSpan w:val="2"/>
            <w:vMerge w:val="restart"/>
            <w:shd w:val="clear" w:color="auto" w:fill="auto"/>
          </w:tcPr>
          <w:p>
            <w:r>
              <w:rPr>
                <w:rFonts w:hint="eastAsia"/>
                <w:color w:val="000000"/>
                <w:szCs w:val="21"/>
              </w:rPr>
              <w:t>F7.1.5</w:t>
            </w:r>
          </w:p>
        </w:tc>
        <w:tc>
          <w:tcPr>
            <w:tcW w:w="745" w:type="dxa"/>
            <w:shd w:val="clear" w:color="auto" w:fill="auto"/>
          </w:tcPr>
          <w:p>
            <w:r>
              <w:rPr>
                <w:rFonts w:hint="eastAsia"/>
              </w:rPr>
              <w:t>文件名称</w:t>
            </w:r>
          </w:p>
        </w:tc>
        <w:tc>
          <w:tcPr>
            <w:tcW w:w="952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290"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12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rPr>
                <w:rFonts w:hint="eastAsia"/>
              </w:rPr>
              <w:t>运行证据</w:t>
            </w:r>
          </w:p>
        </w:tc>
        <w:tc>
          <w:tcPr>
            <w:tcW w:w="9523"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shd w:val="clear" w:color="auto" w:fill="auto"/>
          </w:tcPr>
          <w:p>
            <w:r>
              <w:t>运行策划和控制</w:t>
            </w:r>
          </w:p>
        </w:tc>
        <w:tc>
          <w:tcPr>
            <w:tcW w:w="936" w:type="dxa"/>
            <w:gridSpan w:val="2"/>
            <w:vMerge w:val="restart"/>
            <w:shd w:val="clear" w:color="auto" w:fill="auto"/>
          </w:tcPr>
          <w:p>
            <w:r>
              <w:t>F8.1</w:t>
            </w:r>
          </w:p>
        </w:tc>
        <w:tc>
          <w:tcPr>
            <w:tcW w:w="745" w:type="dxa"/>
            <w:shd w:val="clear" w:color="auto" w:fill="auto"/>
          </w:tcPr>
          <w:p>
            <w:r>
              <w:t>文件名称</w:t>
            </w:r>
          </w:p>
        </w:tc>
        <w:tc>
          <w:tcPr>
            <w:tcW w:w="9523"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lang w:val="en-US" w:eastAsia="zh-CN"/>
              </w:rPr>
              <w:t>人力资源管理程序</w:t>
            </w:r>
            <w:r>
              <w:t>》</w:t>
            </w:r>
            <w:r>
              <w:rPr>
                <w:rFonts w:hint="eastAsia"/>
                <w:lang w:eastAsia="zh-CN"/>
              </w:rPr>
              <w:t>、</w:t>
            </w:r>
            <w:r>
              <w:rPr/>
              <w:sym w:font="Wingdings" w:char="00A8"/>
            </w:r>
            <w:r>
              <w:t>《能力和意识控制程序》</w:t>
            </w:r>
          </w:p>
        </w:tc>
        <w:tc>
          <w:tcPr>
            <w:tcW w:w="1290"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 w:type="dxa"/>
          <w:trHeight w:val="3874"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523" w:type="dxa"/>
            <w:shd w:val="clear" w:color="auto" w:fill="auto"/>
          </w:tcPr>
          <w:p>
            <w:r>
              <w:t>组织通过采取下列措施，策划、实施、控制和更新满足要求的安全产品所必需的过程，并实施风险和机遇分析所确定的措施：</w:t>
            </w:r>
          </w:p>
          <w:p>
            <w:pPr>
              <w:numPr>
                <w:ilvl w:val="0"/>
                <w:numId w:val="1"/>
              </w:numPr>
            </w:pPr>
            <w:r>
              <w:t>为过程建立评价准则：</w:t>
            </w:r>
          </w:p>
          <w:p>
            <w:pPr>
              <w:rPr>
                <w:sz w:val="21"/>
                <w:szCs w:val="21"/>
              </w:rPr>
            </w:pPr>
            <w:r>
              <w:t xml:space="preserve">   </w:t>
            </w:r>
            <w:r>
              <w:rPr>
                <w:sz w:val="21"/>
                <w:szCs w:val="21"/>
              </w:rPr>
              <w:t xml:space="preserve"> </w:t>
            </w:r>
            <w:r>
              <w:rPr>
                <w:sz w:val="21"/>
                <w:szCs w:val="21"/>
              </w:rPr>
              <w:fldChar w:fldCharType="begin"/>
            </w:r>
            <w:r>
              <w:rPr>
                <w:sz w:val="21"/>
                <w:szCs w:val="21"/>
              </w:rPr>
              <w:instrText xml:space="preserve"> eq \o\ac(</w:instrText>
            </w:r>
            <w:r>
              <w:rPr>
                <w:position w:val="-4"/>
                <w:sz w:val="31"/>
                <w:szCs w:val="21"/>
              </w:rPr>
              <w:instrText xml:space="preserve">□</w:instrText>
            </w:r>
            <w:r>
              <w:rPr>
                <w:position w:val="0"/>
                <w:sz w:val="21"/>
                <w:szCs w:val="21"/>
              </w:rPr>
              <w:instrText xml:space="preserve">,√)</w:instrText>
            </w:r>
            <w:r>
              <w:rPr>
                <w:sz w:val="21"/>
                <w:szCs w:val="21"/>
              </w:rPr>
              <w:fldChar w:fldCharType="end"/>
            </w:r>
            <w:r>
              <w:rPr>
                <w:color w:val="000000"/>
                <w:sz w:val="21"/>
                <w:szCs w:val="21"/>
              </w:rPr>
              <w:t xml:space="preserve">前提方案  </w:t>
            </w:r>
            <w:r>
              <w:rPr>
                <w:sz w:val="21"/>
                <w:szCs w:val="21"/>
              </w:rPr>
              <w:fldChar w:fldCharType="begin"/>
            </w:r>
            <w:r>
              <w:rPr>
                <w:sz w:val="21"/>
                <w:szCs w:val="21"/>
              </w:rPr>
              <w:instrText xml:space="preserve"> eq \o\ac(</w:instrText>
            </w:r>
            <w:r>
              <w:rPr>
                <w:position w:val="-4"/>
                <w:sz w:val="31"/>
                <w:szCs w:val="21"/>
              </w:rPr>
              <w:instrText xml:space="preserve">□</w:instrText>
            </w:r>
            <w:r>
              <w:rPr>
                <w:position w:val="0"/>
                <w:sz w:val="21"/>
                <w:szCs w:val="21"/>
              </w:rPr>
              <w:instrText xml:space="preserve">,√)</w:instrText>
            </w:r>
            <w:r>
              <w:rPr>
                <w:sz w:val="21"/>
                <w:szCs w:val="21"/>
              </w:rPr>
              <w:fldChar w:fldCharType="end"/>
            </w:r>
            <w:r>
              <w:rPr>
                <w:sz w:val="21"/>
                <w:szCs w:val="21"/>
              </w:rPr>
              <w:t xml:space="preserve">操作性前提方案  </w:t>
            </w:r>
            <w:r>
              <w:rPr>
                <w:sz w:val="21"/>
                <w:szCs w:val="21"/>
              </w:rPr>
              <w:fldChar w:fldCharType="begin"/>
            </w:r>
            <w:r>
              <w:rPr>
                <w:sz w:val="21"/>
                <w:szCs w:val="21"/>
              </w:rPr>
              <w:instrText xml:space="preserve"> eq \o\ac(</w:instrText>
            </w:r>
            <w:r>
              <w:rPr>
                <w:position w:val="-4"/>
                <w:sz w:val="31"/>
                <w:szCs w:val="21"/>
              </w:rPr>
              <w:instrText xml:space="preserve">□</w:instrText>
            </w:r>
            <w:r>
              <w:rPr>
                <w:position w:val="0"/>
                <w:sz w:val="21"/>
                <w:szCs w:val="21"/>
              </w:rPr>
              <w:instrText xml:space="preserve">,√)</w:instrText>
            </w:r>
            <w:r>
              <w:rPr>
                <w:sz w:val="21"/>
                <w:szCs w:val="21"/>
              </w:rPr>
              <w:fldChar w:fldCharType="end"/>
            </w:r>
            <w:r>
              <w:rPr>
                <w:sz w:val="21"/>
                <w:szCs w:val="21"/>
              </w:rPr>
              <w:t>HACCP</w:t>
            </w:r>
            <w:r>
              <w:rPr>
                <w:rFonts w:hint="eastAsia"/>
                <w:sz w:val="21"/>
                <w:szCs w:val="21"/>
              </w:rPr>
              <w:t>计划</w:t>
            </w:r>
            <w:r>
              <w:rPr>
                <w:sz w:val="21"/>
                <w:szCs w:val="21"/>
              </w:rPr>
              <w:t xml:space="preserve">   </w:t>
            </w:r>
          </w:p>
          <w:p>
            <w:pPr>
              <w:ind w:firstLine="420" w:firstLineChars="200"/>
              <w:rPr>
                <w:sz w:val="21"/>
                <w:szCs w:val="21"/>
              </w:rPr>
            </w:pPr>
            <w:r>
              <w:rPr>
                <w:sz w:val="21"/>
                <w:szCs w:val="21"/>
              </w:rPr>
              <w:fldChar w:fldCharType="begin"/>
            </w:r>
            <w:r>
              <w:rPr>
                <w:sz w:val="21"/>
                <w:szCs w:val="21"/>
              </w:rPr>
              <w:instrText xml:space="preserve"> eq \o\ac(</w:instrText>
            </w:r>
            <w:r>
              <w:rPr>
                <w:position w:val="-4"/>
                <w:sz w:val="31"/>
                <w:szCs w:val="21"/>
              </w:rPr>
              <w:instrText xml:space="preserve">□</w:instrText>
            </w:r>
            <w:r>
              <w:rPr>
                <w:position w:val="0"/>
                <w:sz w:val="21"/>
                <w:szCs w:val="21"/>
              </w:rPr>
              <w:instrText xml:space="preserve">,√)</w:instrText>
            </w:r>
            <w:r>
              <w:rPr>
                <w:sz w:val="21"/>
                <w:szCs w:val="21"/>
              </w:rPr>
              <w:fldChar w:fldCharType="end"/>
            </w:r>
            <w:r>
              <w:rPr>
                <w:sz w:val="21"/>
                <w:szCs w:val="21"/>
              </w:rPr>
              <w:t xml:space="preserve">原材料和接触材料特性描述   </w:t>
            </w:r>
            <w:r>
              <w:rPr>
                <w:sz w:val="21"/>
                <w:szCs w:val="21"/>
              </w:rPr>
              <w:fldChar w:fldCharType="begin"/>
            </w:r>
            <w:r>
              <w:rPr>
                <w:sz w:val="21"/>
                <w:szCs w:val="21"/>
              </w:rPr>
              <w:instrText xml:space="preserve"> eq \o\ac(</w:instrText>
            </w:r>
            <w:r>
              <w:rPr>
                <w:position w:val="-4"/>
                <w:sz w:val="31"/>
                <w:szCs w:val="21"/>
              </w:rPr>
              <w:instrText xml:space="preserve">□</w:instrText>
            </w:r>
            <w:r>
              <w:rPr>
                <w:position w:val="0"/>
                <w:sz w:val="21"/>
                <w:szCs w:val="21"/>
              </w:rPr>
              <w:instrText xml:space="preserve">,√)</w:instrText>
            </w:r>
            <w:r>
              <w:rPr>
                <w:sz w:val="21"/>
                <w:szCs w:val="21"/>
              </w:rPr>
              <w:fldChar w:fldCharType="end"/>
            </w:r>
            <w:r>
              <w:rPr>
                <w:sz w:val="21"/>
                <w:szCs w:val="21"/>
              </w:rPr>
              <w:t>终产品特性描述</w:t>
            </w:r>
          </w:p>
          <w:p>
            <w:pPr>
              <w:numPr>
                <w:ilvl w:val="0"/>
                <w:numId w:val="1"/>
              </w:numPr>
            </w:pPr>
            <w:r>
              <w:t>按照准则实施过程控制；</w:t>
            </w:r>
          </w:p>
          <w:p>
            <w:pPr>
              <w:rPr>
                <w:u w:val="single"/>
              </w:rPr>
            </w:pPr>
            <w:r>
              <w:t xml:space="preserve">  </w:t>
            </w:r>
            <w:r>
              <w:rPr>
                <w:u w:val="single"/>
              </w:rPr>
              <w:t xml:space="preserve"> 见《控制记录》和《检查记录》</w:t>
            </w:r>
          </w:p>
          <w:p/>
          <w:p>
            <w:r>
              <w:t>组织应控制策划的更改，评审非预期变更的后果，必要时，采取措施消除不利影响。（见8.6）</w:t>
            </w:r>
          </w:p>
          <w:p/>
          <w:p>
            <w:r>
              <w:t>组织的外包过程：</w:t>
            </w:r>
            <w:r>
              <w:rPr>
                <w:u w:val="single"/>
              </w:rPr>
              <w:t xml:space="preserve">  </w:t>
            </w:r>
            <w:r>
              <w:rPr>
                <w:rFonts w:hint="eastAsia"/>
                <w:u w:val="single"/>
                <w:lang w:val="en-US" w:eastAsia="zh-CN"/>
              </w:rPr>
              <w:t>成品运输</w:t>
            </w:r>
            <w:r>
              <w:rPr>
                <w:u w:val="single"/>
              </w:rPr>
              <w:t xml:space="preserve">   </w:t>
            </w:r>
            <w:r>
              <w:t>。</w:t>
            </w:r>
          </w:p>
          <w:p>
            <w:r>
              <w:rPr>
                <w:rFonts w:hint="eastAsia"/>
              </w:rPr>
              <w:t>若存在外包过程，</w:t>
            </w:r>
            <w:r>
              <w:t>外包过程的控制（见7.1.6）</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tcPr>
          <w:p>
            <w:r>
              <w:t>前提方案（PRP）</w:t>
            </w:r>
          </w:p>
        </w:tc>
        <w:tc>
          <w:tcPr>
            <w:tcW w:w="936" w:type="dxa"/>
            <w:gridSpan w:val="2"/>
            <w:vMerge w:val="restart"/>
          </w:tcPr>
          <w:p>
            <w:r>
              <w:t>F8.2</w:t>
            </w:r>
          </w:p>
        </w:tc>
        <w:tc>
          <w:tcPr>
            <w:tcW w:w="745" w:type="dxa"/>
          </w:tcPr>
          <w:p>
            <w:r>
              <w:t>文件名称</w:t>
            </w:r>
          </w:p>
        </w:tc>
        <w:tc>
          <w:tcPr>
            <w:tcW w:w="9523" w:type="dxa"/>
          </w:tcPr>
          <w:p>
            <w:r>
              <w:t>如：</w:t>
            </w:r>
            <w:r>
              <w:fldChar w:fldCharType="begin"/>
            </w:r>
            <w:r>
              <w:instrText xml:space="preserve"> eq \o\ac(□,√)</w:instrText>
            </w:r>
            <w:r>
              <w:fldChar w:fldCharType="end"/>
            </w:r>
            <w:r>
              <w:t>《前提方案》</w:t>
            </w:r>
          </w:p>
        </w:tc>
        <w:tc>
          <w:tcPr>
            <w:tcW w:w="1290" w:type="dxa"/>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tcPr>
          <w:p/>
        </w:tc>
        <w:tc>
          <w:tcPr>
            <w:tcW w:w="936" w:type="dxa"/>
            <w:gridSpan w:val="2"/>
            <w:vMerge w:val="continue"/>
          </w:tcPr>
          <w:p/>
        </w:tc>
        <w:tc>
          <w:tcPr>
            <w:tcW w:w="745" w:type="dxa"/>
          </w:tcPr>
          <w:p>
            <w:r>
              <w:t>运行证据</w:t>
            </w:r>
          </w:p>
        </w:tc>
        <w:tc>
          <w:tcPr>
            <w:tcW w:w="9523" w:type="dxa"/>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 w:val="21"/>
                <w:szCs w:val="21"/>
                <w:u w:val="single"/>
              </w:rPr>
              <w:t xml:space="preserve"> GB 14881-2013 </w:t>
            </w:r>
            <w:r>
              <w:rPr>
                <w:rFonts w:hint="eastAsia"/>
                <w:color w:val="000000"/>
                <w:sz w:val="21"/>
                <w:szCs w:val="21"/>
                <w:u w:val="single"/>
                <w:lang w:eastAsia="zh-CN"/>
              </w:rPr>
              <w:t>《</w:t>
            </w:r>
            <w:r>
              <w:rPr>
                <w:rFonts w:hint="eastAsia"/>
                <w:color w:val="000000"/>
                <w:sz w:val="21"/>
                <w:szCs w:val="21"/>
                <w:u w:val="single"/>
              </w:rPr>
              <w:t>食品安全国家标准 食品生产通用卫生规范</w:t>
            </w:r>
            <w:r>
              <w:rPr>
                <w:rFonts w:hint="eastAsia"/>
                <w:color w:val="000000"/>
                <w:sz w:val="21"/>
                <w:szCs w:val="21"/>
                <w:u w:val="single"/>
                <w:lang w:eastAsia="zh-CN"/>
              </w:rPr>
              <w:t>》</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2021 年</w:t>
            </w:r>
            <w:r>
              <w:rPr>
                <w:rFonts w:hint="eastAsia"/>
                <w:u w:val="single"/>
                <w:lang w:val="en-US" w:eastAsia="zh-CN"/>
              </w:rPr>
              <w:t>1</w:t>
            </w:r>
            <w:r>
              <w:rPr>
                <w:u w:val="single"/>
              </w:rPr>
              <w:t xml:space="preserve">月 </w:t>
            </w:r>
            <w:r>
              <w:rPr>
                <w:rFonts w:hint="eastAsia"/>
                <w:u w:val="single"/>
                <w:lang w:val="en-US" w:eastAsia="zh-CN"/>
              </w:rPr>
              <w:t>4</w:t>
            </w:r>
            <w:r>
              <w:rPr>
                <w:u w:val="single"/>
              </w:rPr>
              <w:t xml:space="preserve"> 日         </w:t>
            </w:r>
          </w:p>
          <w:p>
            <w:pPr>
              <w:rPr>
                <w:highlight w:val="cyan"/>
              </w:rPr>
            </w:pPr>
          </w:p>
          <w:p>
            <w:r>
              <w:t>8. 2. 3 当选择和（或） 制定前提方案（PRPs） 时， 组织应考虑：</w:t>
            </w:r>
          </w:p>
          <w:p>
            <w:r>
              <w:t>1)  ISO/TS 22002系列适用技术规范；</w:t>
            </w:r>
          </w:p>
          <w:p>
            <w:pPr>
              <w:ind w:firstLine="420" w:firstLineChars="200"/>
            </w:pPr>
            <w:r>
              <w:rPr/>
              <w:sym w:font="Wingdings" w:char="00FE"/>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11"/>
            </w:pPr>
          </w:p>
          <w:p>
            <w:r>
              <w:t>2）立法/执法要求和顾客要求；</w:t>
            </w:r>
          </w:p>
          <w:p>
            <w:pPr>
              <w:ind w:firstLine="420" w:firstLineChars="200"/>
            </w:pPr>
            <w:r>
              <w:rPr/>
              <w:sym w:font="Wingdings" w:char="00FE"/>
            </w:r>
            <w:r>
              <w:t>立法执法要求：满足相关法律法规要求</w:t>
            </w:r>
          </w:p>
          <w:p>
            <w:pPr>
              <w:ind w:firstLine="420" w:firstLineChars="200"/>
              <w:rPr>
                <w:rFonts w:hint="default" w:eastAsia="宋体"/>
                <w:lang w:val="en-US" w:eastAsia="zh-CN"/>
              </w:rPr>
            </w:pPr>
            <w:r>
              <w:rPr/>
              <w:sym w:font="Wingdings" w:char="00FE"/>
            </w:r>
            <w:r>
              <w:t>顾客要求：</w:t>
            </w:r>
            <w:r>
              <w:rPr>
                <w:rFonts w:hint="eastAsia"/>
              </w:rPr>
              <w:t>产品外观完好</w:t>
            </w:r>
            <w:r>
              <w:rPr>
                <w:rFonts w:hint="eastAsia"/>
                <w:lang w:eastAsia="zh-CN"/>
              </w:rPr>
              <w:t>、</w:t>
            </w:r>
            <w:r>
              <w:rPr>
                <w:rFonts w:hint="eastAsia"/>
                <w:lang w:val="en-US" w:eastAsia="zh-CN"/>
              </w:rPr>
              <w:t>重金属不超标等</w:t>
            </w:r>
          </w:p>
          <w:p>
            <w:r>
              <w:t>3）适用法典和指南。</w:t>
            </w:r>
          </w:p>
          <w:p>
            <w:pPr>
              <w:rPr>
                <w:highlight w:val="cyan"/>
              </w:rPr>
            </w:pPr>
            <w:r>
              <w:t xml:space="preserve">  无</w:t>
            </w: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7" w:type="dxa"/>
            <w:gridSpan w:val="3"/>
            <w:vMerge w:val="restart"/>
          </w:tcPr>
          <w:p>
            <w:r>
              <w:t>标识和可追溯性</w:t>
            </w:r>
          </w:p>
        </w:tc>
        <w:tc>
          <w:tcPr>
            <w:tcW w:w="922" w:type="dxa"/>
            <w:vMerge w:val="restart"/>
          </w:tcPr>
          <w:p>
            <w:r>
              <w:t>F8.3</w:t>
            </w:r>
          </w:p>
          <w:p/>
        </w:tc>
        <w:tc>
          <w:tcPr>
            <w:tcW w:w="745" w:type="dxa"/>
          </w:tcPr>
          <w:p>
            <w:r>
              <w:t>文件名称</w:t>
            </w:r>
          </w:p>
        </w:tc>
        <w:tc>
          <w:tcPr>
            <w:tcW w:w="9523" w:type="dxa"/>
          </w:tcPr>
          <w:p>
            <w:pPr>
              <w:rPr>
                <w:rFonts w:hint="eastAsia" w:eastAsia="宋体"/>
                <w:lang w:eastAsia="zh-CN"/>
              </w:rPr>
            </w:pPr>
            <w:r>
              <w:rPr>
                <w:highlight w:val="none"/>
              </w:rPr>
              <w:t>如：</w:t>
            </w:r>
            <w:r>
              <w:rPr>
                <w:highlight w:val="none"/>
              </w:rPr>
              <w:fldChar w:fldCharType="begin"/>
            </w:r>
            <w:r>
              <w:rPr>
                <w:highlight w:val="none"/>
              </w:rPr>
              <w:instrText xml:space="preserve"> eq \o\ac(□,√)</w:instrText>
            </w:r>
            <w:r>
              <w:rPr>
                <w:highlight w:val="none"/>
              </w:rPr>
              <w:fldChar w:fldCharType="end"/>
            </w:r>
            <w:r>
              <w:rPr>
                <w:highlight w:val="none"/>
              </w:rPr>
              <w:t>手册8.5.2条款、</w:t>
            </w:r>
            <w:r>
              <w:rPr>
                <w:highlight w:val="none"/>
              </w:rPr>
              <w:fldChar w:fldCharType="begin"/>
            </w:r>
            <w:r>
              <w:rPr>
                <w:highlight w:val="none"/>
              </w:rPr>
              <w:instrText xml:space="preserve"> eq \o\ac(□,√)</w:instrText>
            </w:r>
            <w:r>
              <w:rPr>
                <w:highlight w:val="none"/>
              </w:rPr>
              <w:fldChar w:fldCharType="end"/>
            </w:r>
            <w:r>
              <w:rPr>
                <w:highlight w:val="none"/>
              </w:rPr>
              <w:t>《</w:t>
            </w:r>
            <w:r>
              <w:rPr>
                <w:rFonts w:hint="eastAsia"/>
                <w:highlight w:val="none"/>
              </w:rPr>
              <w:t>产品标识和可追溯程序</w:t>
            </w:r>
            <w:r>
              <w:rPr>
                <w:szCs w:val="16"/>
                <w:highlight w:val="none"/>
              </w:rPr>
              <w:t>》</w:t>
            </w:r>
            <w:r>
              <w:rPr>
                <w:highlight w:val="none"/>
              </w:rPr>
              <w:t>、</w:t>
            </w:r>
            <w:r>
              <w:rPr>
                <w:highlight w:val="none"/>
              </w:rPr>
              <w:fldChar w:fldCharType="begin"/>
            </w:r>
            <w:r>
              <w:rPr>
                <w:highlight w:val="none"/>
              </w:rPr>
              <w:instrText xml:space="preserve"> eq \o\ac(□,√)</w:instrText>
            </w:r>
            <w:r>
              <w:rPr>
                <w:highlight w:val="none"/>
              </w:rPr>
              <w:fldChar w:fldCharType="end"/>
            </w:r>
            <w:r>
              <w:rPr>
                <w:highlight w:val="none"/>
              </w:rPr>
              <w:t>《前提方案》</w:t>
            </w:r>
            <w:r>
              <w:rPr>
                <w:rFonts w:hint="eastAsia"/>
                <w:highlight w:val="none"/>
                <w:lang w:eastAsia="zh-CN"/>
              </w:rPr>
              <w:t>、</w:t>
            </w:r>
            <w:r>
              <w:rPr>
                <w:highlight w:val="none"/>
              </w:rPr>
              <w:fldChar w:fldCharType="begin"/>
            </w:r>
            <w:r>
              <w:rPr>
                <w:highlight w:val="none"/>
              </w:rPr>
              <w:instrText xml:space="preserve"> eq \o\ac(□,√)</w:instrText>
            </w:r>
            <w:r>
              <w:rPr>
                <w:highlight w:val="none"/>
              </w:rPr>
              <w:fldChar w:fldCharType="end"/>
            </w:r>
            <w:r>
              <w:rPr>
                <w:rFonts w:hint="eastAsia"/>
                <w:highlight w:val="none"/>
                <w:lang w:eastAsia="zh-CN"/>
              </w:rPr>
              <w:t>《通知和召回程序》</w:t>
            </w:r>
          </w:p>
        </w:tc>
        <w:tc>
          <w:tcPr>
            <w:tcW w:w="1290" w:type="dxa"/>
            <w:vMerge w:val="restart"/>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197" w:type="dxa"/>
            <w:gridSpan w:val="3"/>
            <w:vMerge w:val="continue"/>
          </w:tcPr>
          <w:p/>
        </w:tc>
        <w:tc>
          <w:tcPr>
            <w:tcW w:w="922" w:type="dxa"/>
            <w:vMerge w:val="continue"/>
          </w:tcPr>
          <w:p/>
        </w:tc>
        <w:tc>
          <w:tcPr>
            <w:tcW w:w="745" w:type="dxa"/>
          </w:tcPr>
          <w:p>
            <w:r>
              <w:t>运行证据</w:t>
            </w:r>
          </w:p>
        </w:tc>
        <w:tc>
          <w:tcPr>
            <w:tcW w:w="9523" w:type="dxa"/>
          </w:tcPr>
          <w:p>
            <w:r>
              <w:t>产品的检验状态标识：</w:t>
            </w:r>
            <w:r>
              <w:rPr/>
              <w:sym w:font="Wingdings" w:char="00FE"/>
            </w:r>
            <w:r>
              <w:t xml:space="preserve">待检 </w:t>
            </w:r>
            <w:r>
              <w:rPr/>
              <w:sym w:font="Wingdings" w:char="00A8"/>
            </w:r>
            <w:r>
              <w:t xml:space="preserve">待下结论 </w:t>
            </w:r>
            <w:r>
              <w:rPr/>
              <w:sym w:font="Wingdings" w:char="00FE"/>
            </w:r>
            <w:r>
              <w:t xml:space="preserve">合格  </w:t>
            </w:r>
            <w:r>
              <w:rPr/>
              <w:sym w:font="Wingdings" w:char="00FE"/>
            </w:r>
            <w:r>
              <w:t xml:space="preserve">不合格  </w:t>
            </w:r>
          </w:p>
          <w:p/>
          <w:p>
            <w:r>
              <w:t>在建立和实施可追溯性体系时，考虑了以下内容：</w:t>
            </w:r>
          </w:p>
          <w:p>
            <w:r>
              <w:t xml:space="preserve"> </w:t>
            </w:r>
            <w:r>
              <w:rPr/>
              <w:sym w:font="Wingdings" w:char="00FE"/>
            </w:r>
            <w:r>
              <w:t>接收物料、配料、中间产品批量与最终产品的关系；</w:t>
            </w:r>
          </w:p>
          <w:p>
            <w:pPr>
              <w:rPr>
                <w:rFonts w:hint="eastAsia" w:eastAsia="宋体"/>
                <w:lang w:eastAsia="zh-CN"/>
              </w:rPr>
            </w:pPr>
            <w:r>
              <w:t xml:space="preserve"> </w:t>
            </w:r>
            <w:r>
              <w:rPr/>
              <w:sym w:font="Wingdings" w:char="00A8"/>
            </w:r>
            <w:r>
              <w:t>材料/产品的返工；</w:t>
            </w:r>
            <w:r>
              <w:rPr>
                <w:rFonts w:hint="eastAsia"/>
                <w:lang w:eastAsia="zh-CN"/>
              </w:rPr>
              <w:t>（</w:t>
            </w:r>
            <w:r>
              <w:rPr>
                <w:rFonts w:hint="eastAsia"/>
                <w:lang w:val="en-US" w:eastAsia="zh-CN"/>
              </w:rPr>
              <w:t>不涉及</w:t>
            </w:r>
            <w:r>
              <w:rPr>
                <w:rFonts w:hint="eastAsia"/>
                <w:lang w:eastAsia="zh-CN"/>
              </w:rPr>
              <w:t>）</w:t>
            </w:r>
          </w:p>
          <w:p>
            <w:r>
              <w:t xml:space="preserve"> </w:t>
            </w:r>
            <w:r>
              <w:rPr/>
              <w:sym w:font="Wingdings" w:char="00FE"/>
            </w:r>
            <w:r>
              <w:t>最终产品的分销。</w:t>
            </w:r>
          </w:p>
          <w:p/>
          <w:p>
            <w:r>
              <w:t>原材料的唯一性标识方式：</w:t>
            </w:r>
          </w:p>
          <w:p>
            <w:pPr>
              <w:rPr>
                <w:rFonts w:hint="default" w:eastAsia="宋体"/>
                <w:lang w:val="en-US" w:eastAsia="zh-CN"/>
              </w:rPr>
            </w:pPr>
            <w:r>
              <w:rPr/>
              <w:sym w:font="Wingdings" w:char="00A8"/>
            </w:r>
            <w:r>
              <w:t xml:space="preserve">容器编号  </w:t>
            </w:r>
            <w:r>
              <w:rPr/>
              <w:sym w:font="Wingdings" w:char="00A8"/>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lang w:val="en-US" w:eastAsia="zh-CN"/>
              </w:rPr>
              <w:t xml:space="preserve">  </w:t>
            </w:r>
            <w:r>
              <w:rPr/>
              <w:sym w:font="Wingdings" w:char="00A8"/>
            </w:r>
            <w:r>
              <w:t>其他</w:t>
            </w:r>
            <w:r>
              <w:rPr>
                <w:rFonts w:hint="eastAsia"/>
              </w:rPr>
              <w:t>——</w:t>
            </w:r>
            <w:r>
              <w:rPr>
                <w:rFonts w:hint="eastAsia"/>
                <w:lang w:val="en-US" w:eastAsia="zh-CN"/>
              </w:rPr>
              <w:t>进货批号标识</w:t>
            </w:r>
          </w:p>
          <w:p>
            <w:pPr>
              <w:rPr>
                <w:highlight w:val="yellow"/>
              </w:rPr>
            </w:pPr>
          </w:p>
          <w:p>
            <w:r>
              <w:t xml:space="preserve">半成品的唯一性标识方式： </w:t>
            </w:r>
          </w:p>
          <w:p>
            <w:r>
              <w:rPr/>
              <w:sym w:font="Wingdings" w:char="00A8"/>
            </w:r>
            <w:r>
              <w:t xml:space="preserve">容器编号  </w:t>
            </w:r>
            <w:r>
              <w:rPr/>
              <w:sym w:font="Wingdings" w:char="00FE"/>
            </w:r>
            <w:r>
              <w:t xml:space="preserve">标牌  </w:t>
            </w:r>
            <w:r>
              <w:rPr/>
              <w:sym w:font="Wingdings" w:char="00A8"/>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FE"/>
            </w:r>
            <w:r>
              <w:t>其他</w:t>
            </w:r>
            <w:r>
              <w:rPr>
                <w:rFonts w:hint="eastAsia"/>
              </w:rPr>
              <w:t>—</w:t>
            </w:r>
            <w:r>
              <w:rPr>
                <w:rFonts w:hint="eastAsia"/>
                <w:lang w:val="en-US" w:eastAsia="zh-CN"/>
              </w:rPr>
              <w:t>进货批号标识</w:t>
            </w:r>
          </w:p>
          <w:p>
            <w:pPr>
              <w:rPr>
                <w:highlight w:val="yellow"/>
              </w:rPr>
            </w:pPr>
          </w:p>
          <w:p>
            <w:r>
              <w:t xml:space="preserve">成品的唯一性标识方式： </w:t>
            </w:r>
          </w:p>
          <w:p>
            <w:pPr>
              <w:rPr>
                <w:rFonts w:hint="eastAsia"/>
              </w:rPr>
            </w:pPr>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FE"/>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2"/>
            </w:pPr>
          </w:p>
          <w:p>
            <w:r>
              <w:rPr>
                <w:rFonts w:hint="eastAsia"/>
              </w:rPr>
              <w:t>组织于</w:t>
            </w:r>
            <w:r>
              <w:rPr>
                <w:rFonts w:hint="eastAsia"/>
                <w:szCs w:val="21"/>
                <w:u w:val="single"/>
              </w:rPr>
              <w:t xml:space="preserve">  202</w:t>
            </w:r>
            <w:r>
              <w:rPr>
                <w:rFonts w:hint="eastAsia"/>
                <w:szCs w:val="21"/>
                <w:u w:val="single"/>
                <w:lang w:val="en-US" w:eastAsia="zh-CN"/>
              </w:rPr>
              <w:t>1</w:t>
            </w:r>
            <w:r>
              <w:rPr>
                <w:rFonts w:hint="eastAsia"/>
                <w:szCs w:val="21"/>
                <w:u w:val="single"/>
              </w:rPr>
              <w:t xml:space="preserve"> </w:t>
            </w:r>
            <w:r>
              <w:rPr>
                <w:rFonts w:hint="eastAsia"/>
                <w:szCs w:val="21"/>
              </w:rPr>
              <w:t>年</w:t>
            </w:r>
            <w:r>
              <w:rPr>
                <w:rFonts w:hint="eastAsia"/>
                <w:szCs w:val="21"/>
                <w:u w:val="single"/>
                <w:lang w:val="en-US" w:eastAsia="zh-CN"/>
              </w:rPr>
              <w:t>8</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24</w:t>
            </w:r>
            <w:r>
              <w:rPr>
                <w:rFonts w:hint="eastAsia"/>
                <w:szCs w:val="21"/>
                <w:u w:val="single"/>
              </w:rPr>
              <w:t xml:space="preserve">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626"/>
              <w:gridCol w:w="1377"/>
              <w:gridCol w:w="1233"/>
              <w:gridCol w:w="1360"/>
              <w:gridCol w:w="129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r>
                    <w:rPr>
                      <w:rFonts w:hint="eastAsia"/>
                    </w:rPr>
                    <w:t>产品批号</w:t>
                  </w:r>
                </w:p>
              </w:tc>
              <w:tc>
                <w:tcPr>
                  <w:tcW w:w="1626" w:type="dxa"/>
                </w:tcPr>
                <w:p>
                  <w:r>
                    <w:rPr>
                      <w:rFonts w:hint="eastAsia"/>
                    </w:rPr>
                    <w:t>不合格简述</w:t>
                  </w:r>
                </w:p>
              </w:tc>
              <w:tc>
                <w:tcPr>
                  <w:tcW w:w="1377" w:type="dxa"/>
                </w:tcPr>
                <w:p>
                  <w:r>
                    <w:t>生产记录</w:t>
                  </w:r>
                  <w:r>
                    <w:rPr>
                      <w:rFonts w:hint="eastAsia"/>
                    </w:rPr>
                    <w:t>情况</w:t>
                  </w:r>
                </w:p>
              </w:tc>
              <w:tc>
                <w:tcPr>
                  <w:tcW w:w="1233" w:type="dxa"/>
                </w:tcPr>
                <w:p>
                  <w:r>
                    <w:t>检验记录</w:t>
                  </w:r>
                  <w:r>
                    <w:rPr>
                      <w:rFonts w:hint="eastAsia"/>
                    </w:rPr>
                    <w:t>情况</w:t>
                  </w:r>
                </w:p>
              </w:tc>
              <w:tc>
                <w:tcPr>
                  <w:tcW w:w="1360" w:type="dxa"/>
                </w:tcPr>
                <w:p>
                  <w:r>
                    <w:t>采购记录</w:t>
                  </w:r>
                  <w:r>
                    <w:rPr>
                      <w:rFonts w:hint="eastAsia"/>
                    </w:rPr>
                    <w:t>情况</w:t>
                  </w:r>
                </w:p>
              </w:tc>
              <w:tc>
                <w:tcPr>
                  <w:tcW w:w="1290" w:type="dxa"/>
                </w:tcPr>
                <w:p>
                  <w:r>
                    <w:t>产品留样</w:t>
                  </w:r>
                  <w:r>
                    <w:rPr>
                      <w:rFonts w:hint="eastAsia"/>
                    </w:rPr>
                    <w:t>确认</w:t>
                  </w:r>
                </w:p>
              </w:tc>
              <w:tc>
                <w:tcPr>
                  <w:tcW w:w="1320"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7" w:type="dxa"/>
                </w:tcPr>
                <w:p>
                  <w:pPr>
                    <w:rPr>
                      <w:rFonts w:hint="default" w:eastAsia="宋体"/>
                      <w:lang w:val="en-US" w:eastAsia="zh-CN"/>
                    </w:rPr>
                  </w:pPr>
                  <w:r>
                    <w:rPr>
                      <w:rFonts w:hint="eastAsia"/>
                      <w:lang w:val="en-US" w:eastAsia="zh-CN"/>
                    </w:rPr>
                    <w:t>2021080501</w:t>
                  </w:r>
                </w:p>
              </w:tc>
              <w:tc>
                <w:tcPr>
                  <w:tcW w:w="1626" w:type="dxa"/>
                </w:tcPr>
                <w:p>
                  <w:pPr>
                    <w:rPr>
                      <w:rFonts w:hint="default" w:eastAsia="宋体"/>
                      <w:lang w:val="en-US" w:eastAsia="zh-CN"/>
                    </w:rPr>
                  </w:pPr>
                  <w:r>
                    <w:rPr>
                      <w:rFonts w:hint="eastAsia"/>
                      <w:lang w:val="en-US" w:eastAsia="zh-CN"/>
                    </w:rPr>
                    <w:t>野山椒霉变（假设）</w:t>
                  </w:r>
                </w:p>
              </w:tc>
              <w:tc>
                <w:tcPr>
                  <w:tcW w:w="1377" w:type="dxa"/>
                </w:tcPr>
                <w:p>
                  <w:pPr>
                    <w:rPr>
                      <w:rFonts w:hint="default"/>
                      <w:lang w:val="en-US"/>
                    </w:rPr>
                  </w:pPr>
                  <w:r>
                    <w:rPr>
                      <w:rFonts w:hint="eastAsia"/>
                    </w:rPr>
                    <w:t>20</w:t>
                  </w:r>
                  <w:r>
                    <w:rPr>
                      <w:rFonts w:hint="eastAsia"/>
                      <w:lang w:val="en-US" w:eastAsia="zh-CN"/>
                    </w:rPr>
                    <w:t>21.08.23</w:t>
                  </w:r>
                </w:p>
              </w:tc>
              <w:tc>
                <w:tcPr>
                  <w:tcW w:w="1233" w:type="dxa"/>
                </w:tcPr>
                <w:p>
                  <w:r>
                    <w:rPr>
                      <w:rFonts w:hint="eastAsia"/>
                    </w:rPr>
                    <w:t>20</w:t>
                  </w:r>
                  <w:r>
                    <w:rPr>
                      <w:rFonts w:hint="eastAsia"/>
                      <w:lang w:val="en-US" w:eastAsia="zh-CN"/>
                    </w:rPr>
                    <w:t>21.08.23</w:t>
                  </w:r>
                </w:p>
              </w:tc>
              <w:tc>
                <w:tcPr>
                  <w:tcW w:w="1360" w:type="dxa"/>
                </w:tcPr>
                <w:p>
                  <w:pPr>
                    <w:rPr>
                      <w:rFonts w:hint="default" w:eastAsia="宋体"/>
                      <w:lang w:val="en-US" w:eastAsia="zh-CN"/>
                    </w:rPr>
                  </w:pPr>
                  <w:r>
                    <w:rPr>
                      <w:rFonts w:hint="eastAsia"/>
                      <w:lang w:val="en-US" w:eastAsia="zh-CN"/>
                    </w:rPr>
                    <w:t>2021-08-08</w:t>
                  </w:r>
                </w:p>
              </w:tc>
              <w:tc>
                <w:tcPr>
                  <w:tcW w:w="1290" w:type="dxa"/>
                </w:tcPr>
                <w:p>
                  <w:pPr>
                    <w:rPr>
                      <w:rFonts w:hint="default" w:eastAsia="宋体"/>
                      <w:lang w:val="en-US" w:eastAsia="zh-CN"/>
                    </w:rPr>
                  </w:pPr>
                  <w:r>
                    <w:rPr>
                      <w:rFonts w:hint="eastAsia"/>
                      <w:lang w:val="en-US" w:eastAsia="zh-CN"/>
                    </w:rPr>
                    <w:t>2021080501</w:t>
                  </w:r>
                </w:p>
              </w:tc>
              <w:tc>
                <w:tcPr>
                  <w:tcW w:w="1320" w:type="dxa"/>
                </w:tcPr>
                <w:p>
                  <w:pPr>
                    <w:rPr>
                      <w:rFonts w:hint="default" w:eastAsia="宋体"/>
                      <w:lang w:val="en-US" w:eastAsia="zh-CN"/>
                    </w:rPr>
                  </w:pPr>
                  <w:r>
                    <w:rPr>
                      <w:rFonts w:hint="eastAsia"/>
                      <w:lang w:val="en-US" w:eastAsia="zh-CN"/>
                    </w:rPr>
                    <w:t>还未发出货，在库房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tc>
              <w:tc>
                <w:tcPr>
                  <w:tcW w:w="1626" w:type="dxa"/>
                </w:tcPr>
                <w:p/>
              </w:tc>
              <w:tc>
                <w:tcPr>
                  <w:tcW w:w="1377" w:type="dxa"/>
                </w:tcPr>
                <w:p/>
              </w:tc>
              <w:tc>
                <w:tcPr>
                  <w:tcW w:w="1233" w:type="dxa"/>
                </w:tcPr>
                <w:p/>
              </w:tc>
              <w:tc>
                <w:tcPr>
                  <w:tcW w:w="1360" w:type="dxa"/>
                </w:tcPr>
                <w:p/>
              </w:tc>
              <w:tc>
                <w:tcPr>
                  <w:tcW w:w="1290" w:type="dxa"/>
                </w:tcPr>
                <w:p/>
              </w:tc>
              <w:tc>
                <w:tcPr>
                  <w:tcW w:w="1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tc>
              <w:tc>
                <w:tcPr>
                  <w:tcW w:w="1626" w:type="dxa"/>
                </w:tcPr>
                <w:p/>
              </w:tc>
              <w:tc>
                <w:tcPr>
                  <w:tcW w:w="1377" w:type="dxa"/>
                </w:tcPr>
                <w:p/>
              </w:tc>
              <w:tc>
                <w:tcPr>
                  <w:tcW w:w="1233" w:type="dxa"/>
                </w:tcPr>
                <w:p/>
              </w:tc>
              <w:tc>
                <w:tcPr>
                  <w:tcW w:w="1360" w:type="dxa"/>
                </w:tcPr>
                <w:p/>
              </w:tc>
              <w:tc>
                <w:tcPr>
                  <w:tcW w:w="1290" w:type="dxa"/>
                </w:tcPr>
                <w:p/>
              </w:tc>
              <w:tc>
                <w:tcPr>
                  <w:tcW w:w="1320" w:type="dxa"/>
                </w:tcPr>
                <w:p/>
              </w:tc>
            </w:tr>
          </w:tbl>
          <w:p>
            <w:pPr>
              <w:rPr>
                <w:rFonts w:hint="default"/>
                <w:lang w:val="en-US" w:eastAsia="zh-CN"/>
              </w:rPr>
            </w:pPr>
          </w:p>
          <w:p>
            <w:r>
              <w:t>可追溯性系统证据的保留期限</w:t>
            </w:r>
            <w:r>
              <w:rPr>
                <w:u w:val="single"/>
              </w:rPr>
              <w:t xml:space="preserve"> </w:t>
            </w:r>
            <w:r>
              <w:rPr>
                <w:rFonts w:hint="eastAsia"/>
                <w:u w:val="single"/>
              </w:rPr>
              <w:t>24</w:t>
            </w:r>
            <w:r>
              <w:rPr>
                <w:u w:val="single"/>
              </w:rPr>
              <w:t xml:space="preserve"> </w:t>
            </w:r>
            <w:r>
              <w:t xml:space="preserve">个月，至少包括产品的保质期 </w:t>
            </w:r>
            <w:r>
              <w:rPr>
                <w:rFonts w:hint="eastAsia"/>
                <w:u w:val="single"/>
                <w:lang w:val="en-US" w:eastAsia="zh-CN"/>
              </w:rPr>
              <w:t xml:space="preserve">12 </w:t>
            </w:r>
            <w:r>
              <w:rPr>
                <w:u w:val="single"/>
              </w:rPr>
              <w:t xml:space="preserve"> </w:t>
            </w:r>
            <w:r>
              <w:t>个月。</w:t>
            </w:r>
          </w:p>
          <w:p/>
          <w:p>
            <w:pPr>
              <w:rPr>
                <w:rFonts w:hint="default" w:eastAsia="宋体"/>
                <w:highlight w:val="none"/>
                <w:lang w:val="en-US" w:eastAsia="zh-CN"/>
              </w:rPr>
            </w:pPr>
            <w:r>
              <w:rPr>
                <w:highlight w:val="none"/>
              </w:rPr>
              <w:t>产品留样</w:t>
            </w:r>
            <w:r>
              <w:rPr>
                <w:rFonts w:hint="eastAsia"/>
                <w:highlight w:val="none"/>
                <w:lang w:eastAsia="zh-CN"/>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r>
                    <w:rPr>
                      <w:highlight w:val="none"/>
                    </w:rPr>
                    <w:t>产品名称</w:t>
                  </w:r>
                </w:p>
              </w:tc>
              <w:tc>
                <w:tcPr>
                  <w:tcW w:w="1808" w:type="dxa"/>
                </w:tcPr>
                <w:p>
                  <w:pPr>
                    <w:rPr>
                      <w:highlight w:val="none"/>
                    </w:rPr>
                  </w:pPr>
                  <w:r>
                    <w:rPr>
                      <w:highlight w:val="none"/>
                    </w:rPr>
                    <w:t>规格</w:t>
                  </w:r>
                </w:p>
              </w:tc>
              <w:tc>
                <w:tcPr>
                  <w:tcW w:w="1809" w:type="dxa"/>
                </w:tcPr>
                <w:p>
                  <w:pPr>
                    <w:rPr>
                      <w:rFonts w:hint="default" w:eastAsia="宋体"/>
                      <w:highlight w:val="none"/>
                      <w:lang w:val="en-US" w:eastAsia="zh-CN"/>
                    </w:rPr>
                  </w:pPr>
                  <w:r>
                    <w:rPr>
                      <w:highlight w:val="none"/>
                    </w:rPr>
                    <w:t>生产日期</w:t>
                  </w:r>
                  <w:r>
                    <w:rPr>
                      <w:rFonts w:hint="eastAsia"/>
                      <w:highlight w:val="none"/>
                      <w:lang w:val="en-US" w:eastAsia="zh-CN"/>
                    </w:rPr>
                    <w:t>/批号</w:t>
                  </w:r>
                </w:p>
              </w:tc>
              <w:tc>
                <w:tcPr>
                  <w:tcW w:w="1809" w:type="dxa"/>
                </w:tcPr>
                <w:p>
                  <w:pPr>
                    <w:rPr>
                      <w:highlight w:val="none"/>
                    </w:rPr>
                  </w:pPr>
                  <w:r>
                    <w:rPr>
                      <w:highlight w:val="none"/>
                    </w:rPr>
                    <w:t>保存期限</w:t>
                  </w:r>
                </w:p>
              </w:tc>
              <w:tc>
                <w:tcPr>
                  <w:tcW w:w="1809" w:type="dxa"/>
                </w:tcPr>
                <w:p>
                  <w:pPr>
                    <w:rPr>
                      <w:highlight w:val="none"/>
                    </w:rPr>
                  </w:pPr>
                  <w:r>
                    <w:rPr>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宋体"/>
                      <w:highlight w:val="none"/>
                      <w:lang w:val="en-US" w:eastAsia="zh-CN"/>
                    </w:rPr>
                  </w:pPr>
                  <w:r>
                    <w:rPr>
                      <w:rFonts w:hint="eastAsia"/>
                      <w:highlight w:val="none"/>
                      <w:lang w:val="en-US" w:eastAsia="zh-CN"/>
                    </w:rPr>
                    <w:t>青花椒</w:t>
                  </w:r>
                </w:p>
              </w:tc>
              <w:tc>
                <w:tcPr>
                  <w:tcW w:w="1808" w:type="dxa"/>
                </w:tcPr>
                <w:p>
                  <w:pPr>
                    <w:rPr>
                      <w:rFonts w:hint="default" w:eastAsia="宋体"/>
                      <w:highlight w:val="none"/>
                      <w:lang w:val="en-US" w:eastAsia="zh-CN"/>
                    </w:rPr>
                  </w:pPr>
                  <w:r>
                    <w:rPr>
                      <w:rFonts w:hint="eastAsia"/>
                      <w:highlight w:val="none"/>
                      <w:lang w:val="en-US" w:eastAsia="zh-CN"/>
                    </w:rPr>
                    <w:t>300g</w:t>
                  </w:r>
                </w:p>
              </w:tc>
              <w:tc>
                <w:tcPr>
                  <w:tcW w:w="1809" w:type="dxa"/>
                </w:tcPr>
                <w:p>
                  <w:pPr>
                    <w:rPr>
                      <w:rFonts w:hint="default" w:eastAsia="宋体"/>
                      <w:highlight w:val="none"/>
                      <w:lang w:val="en-US" w:eastAsia="zh-CN"/>
                    </w:rPr>
                  </w:pPr>
                  <w:r>
                    <w:rPr>
                      <w:rFonts w:hint="eastAsia"/>
                      <w:highlight w:val="none"/>
                      <w:lang w:val="en-US" w:eastAsia="zh-CN"/>
                    </w:rPr>
                    <w:t>2021081101</w:t>
                  </w:r>
                </w:p>
              </w:tc>
              <w:tc>
                <w:tcPr>
                  <w:tcW w:w="1809" w:type="dxa"/>
                </w:tcPr>
                <w:p>
                  <w:pPr>
                    <w:rPr>
                      <w:rFonts w:hint="default" w:eastAsia="宋体"/>
                      <w:highlight w:val="none"/>
                      <w:lang w:val="en-US" w:eastAsia="zh-CN"/>
                    </w:rPr>
                  </w:pPr>
                  <w:r>
                    <w:rPr>
                      <w:rFonts w:hint="eastAsia"/>
                      <w:highlight w:val="none"/>
                      <w:lang w:val="en-US" w:eastAsia="zh-CN"/>
                    </w:rPr>
                    <w:t>12个月</w:t>
                  </w:r>
                </w:p>
              </w:tc>
              <w:tc>
                <w:tcPr>
                  <w:tcW w:w="1809" w:type="dxa"/>
                </w:tcPr>
                <w:p>
                  <w:pPr>
                    <w:rPr>
                      <w:rFonts w:hint="eastAsia" w:eastAsia="宋体"/>
                      <w:highlight w:val="none"/>
                      <w:lang w:val="en-US" w:eastAsia="zh-CN"/>
                    </w:rPr>
                  </w:pPr>
                  <w:r>
                    <w:rPr>
                      <w:rFonts w:hint="eastAsia"/>
                      <w:highlight w:val="none"/>
                      <w:lang w:val="en-US" w:eastAsia="zh-CN"/>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r>
                    <w:rPr>
                      <w:rFonts w:hint="eastAsia"/>
                      <w:highlight w:val="none"/>
                      <w:vertAlign w:val="baseline"/>
                      <w:lang w:val="en-US" w:eastAsia="zh-CN"/>
                    </w:rPr>
                    <w:t>八角</w:t>
                  </w:r>
                </w:p>
              </w:tc>
              <w:tc>
                <w:tcPr>
                  <w:tcW w:w="1808" w:type="dxa"/>
                </w:tcPr>
                <w:p>
                  <w:pPr>
                    <w:rPr>
                      <w:rFonts w:hint="default" w:eastAsia="宋体"/>
                      <w:highlight w:val="none"/>
                      <w:lang w:val="en-US" w:eastAsia="zh-CN"/>
                    </w:rPr>
                  </w:pPr>
                  <w:r>
                    <w:rPr>
                      <w:rFonts w:hint="eastAsia"/>
                      <w:highlight w:val="none"/>
                      <w:lang w:val="en-US" w:eastAsia="zh-CN"/>
                    </w:rPr>
                    <w:t>300g</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2021082101</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12个月</w:t>
                  </w:r>
                </w:p>
              </w:tc>
              <w:tc>
                <w:tcPr>
                  <w:tcW w:w="180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highlight w:val="none"/>
                      <w:lang w:val="en-US" w:eastAsia="zh-CN"/>
                    </w:rPr>
                  </w:pPr>
                  <w:r>
                    <w:rPr>
                      <w:rFonts w:hint="eastAsia"/>
                      <w:highlight w:val="none"/>
                      <w:lang w:val="en-US" w:eastAsia="zh-CN"/>
                    </w:rPr>
                    <w:t>桂皮</w:t>
                  </w:r>
                </w:p>
              </w:tc>
              <w:tc>
                <w:tcPr>
                  <w:tcW w:w="1808" w:type="dxa"/>
                </w:tcPr>
                <w:p>
                  <w:pPr>
                    <w:rPr>
                      <w:highlight w:val="none"/>
                    </w:rPr>
                  </w:pPr>
                  <w:r>
                    <w:rPr>
                      <w:rFonts w:hint="eastAsia"/>
                      <w:highlight w:val="none"/>
                      <w:lang w:val="en-US" w:eastAsia="zh-CN"/>
                    </w:rPr>
                    <w:t>300g</w:t>
                  </w:r>
                </w:p>
              </w:tc>
              <w:tc>
                <w:tcPr>
                  <w:tcW w:w="1809" w:type="dxa"/>
                </w:tcPr>
                <w:p>
                  <w:pPr>
                    <w:rPr>
                      <w:rFonts w:hint="default" w:eastAsia="宋体"/>
                      <w:highlight w:val="none"/>
                      <w:lang w:val="en-US" w:eastAsia="zh-CN"/>
                    </w:rPr>
                  </w:pPr>
                  <w:r>
                    <w:rPr>
                      <w:rFonts w:hint="eastAsia"/>
                      <w:highlight w:val="none"/>
                      <w:lang w:val="en-US" w:eastAsia="zh-CN"/>
                    </w:rPr>
                    <w:t>2021082104</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12个月</w:t>
                  </w:r>
                </w:p>
              </w:tc>
              <w:tc>
                <w:tcPr>
                  <w:tcW w:w="180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常温</w:t>
                  </w:r>
                </w:p>
              </w:tc>
            </w:tr>
          </w:tbl>
          <w:p/>
          <w:p>
            <w:r>
              <w:t>系统的验证包括最终产品数量与成分数量的核对，作为追溯性有效性的证据。</w:t>
            </w:r>
            <w:r>
              <w:rPr/>
              <w:sym w:font="Wingdings" w:char="00FE"/>
            </w:r>
            <w:r>
              <w:t xml:space="preserve">是  </w:t>
            </w:r>
            <w:r>
              <w:rPr/>
              <w:sym w:font="Wingdings" w:char="00A8"/>
            </w:r>
            <w:r>
              <w:t>否</w:t>
            </w:r>
          </w:p>
          <w:p>
            <w:pPr>
              <w:pStyle w:val="11"/>
              <w:rPr>
                <w:rFonts w:ascii="Times New Roman" w:hAnsi="Times New Roman"/>
              </w:rPr>
            </w:pP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97" w:type="dxa"/>
            <w:gridSpan w:val="3"/>
            <w:vMerge w:val="continue"/>
          </w:tcPr>
          <w:p/>
        </w:tc>
        <w:tc>
          <w:tcPr>
            <w:tcW w:w="922" w:type="dxa"/>
            <w:vMerge w:val="continue"/>
          </w:tcPr>
          <w:p/>
        </w:tc>
        <w:tc>
          <w:tcPr>
            <w:tcW w:w="745" w:type="dxa"/>
          </w:tcPr>
          <w:p>
            <w:r>
              <w:t>现场观察</w:t>
            </w:r>
          </w:p>
        </w:tc>
        <w:tc>
          <w:tcPr>
            <w:tcW w:w="9523" w:type="dxa"/>
          </w:tcPr>
          <w:p>
            <w:pPr>
              <w:rPr>
                <w:rFonts w:hint="eastAsia" w:eastAsia="宋体"/>
                <w:lang w:val="en-US" w:eastAsia="zh-CN"/>
              </w:rPr>
            </w:pPr>
            <w:r>
              <w:t>在生产或服务场所对原材料的标识情况：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lang w:eastAsia="zh-CN"/>
              </w:rPr>
              <w:t>：</w:t>
            </w:r>
          </w:p>
          <w:p>
            <w:r>
              <w:t>在生产或服务场所对半成品的标识情况：</w:t>
            </w:r>
            <w:r>
              <w:rPr/>
              <w:sym w:font="Wingdings" w:char="00FE"/>
            </w:r>
            <w:r>
              <w:t xml:space="preserve">区分清楚  </w:t>
            </w:r>
            <w:r>
              <w:rPr/>
              <w:sym w:font="Wingdings" w:char="00FE"/>
            </w:r>
            <w:r>
              <w:t xml:space="preserve">防护得当 </w:t>
            </w:r>
            <w:r>
              <w:rPr/>
              <w:sym w:font="Wingdings" w:char="00A8"/>
            </w:r>
            <w:r>
              <w:t xml:space="preserve">不适宜说明： </w:t>
            </w:r>
          </w:p>
          <w:p>
            <w:r>
              <w:t xml:space="preserve">在生产或服务场所对成品的标识情况：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highlight w:val="yellow"/>
              </w:rPr>
            </w:pPr>
          </w:p>
          <w:p>
            <w:r>
              <w:t>在原材料库房的标识情况：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rFonts w:hint="eastAsia" w:eastAsia="宋体"/>
                <w:u w:val="single"/>
                <w:lang w:val="en-US" w:eastAsia="zh-CN"/>
              </w:rPr>
            </w:pPr>
            <w:r>
              <w:t>在半成品库房的标识情况：</w:t>
            </w:r>
            <w:r>
              <w:rPr/>
              <w:sym w:font="Wingdings" w:char="00A8"/>
            </w:r>
            <w:r>
              <w:t xml:space="preserve">区分清楚  </w:t>
            </w:r>
            <w:r>
              <w:rPr/>
              <w:sym w:font="Wingdings" w:char="00A8"/>
            </w:r>
            <w:r>
              <w:t xml:space="preserve">防护得当 </w:t>
            </w:r>
            <w:r>
              <w:rPr/>
              <w:sym w:font="Wingdings" w:char="00FE"/>
            </w:r>
            <w:r>
              <w:t>不适宜说明：</w:t>
            </w:r>
            <w:r>
              <w:rPr>
                <w:rFonts w:hint="eastAsia"/>
                <w:lang w:eastAsia="zh-CN"/>
              </w:rPr>
              <w:t>（</w:t>
            </w:r>
            <w:r>
              <w:rPr>
                <w:rFonts w:hint="eastAsia"/>
                <w:lang w:val="en-US" w:eastAsia="zh-CN"/>
              </w:rPr>
              <w:t>不适用</w:t>
            </w:r>
            <w:r>
              <w:rPr>
                <w:rFonts w:hint="eastAsia"/>
                <w:lang w:eastAsia="zh-CN"/>
              </w:rPr>
              <w:t>）</w:t>
            </w:r>
          </w:p>
          <w:p>
            <w:r>
              <w:t xml:space="preserve">在成品库房的标识情况：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实施危害分析的预备步骤</w:t>
            </w:r>
          </w:p>
        </w:tc>
        <w:tc>
          <w:tcPr>
            <w:tcW w:w="936" w:type="dxa"/>
            <w:gridSpan w:val="2"/>
            <w:vMerge w:val="restart"/>
            <w:shd w:val="clear" w:color="auto" w:fill="auto"/>
          </w:tcPr>
          <w:p>
            <w:r>
              <w:t>F8.5.1</w:t>
            </w:r>
          </w:p>
          <w:p/>
        </w:tc>
        <w:tc>
          <w:tcPr>
            <w:tcW w:w="745" w:type="dxa"/>
            <w:shd w:val="clear" w:color="auto" w:fill="auto"/>
          </w:tcPr>
          <w:p>
            <w:r>
              <w:t>文件名称</w:t>
            </w:r>
          </w:p>
        </w:tc>
        <w:tc>
          <w:tcPr>
            <w:tcW w:w="9523" w:type="dxa"/>
            <w:shd w:val="clear" w:color="auto" w:fill="auto"/>
          </w:tcPr>
          <w:p>
            <w:r>
              <w:t>如：</w:t>
            </w:r>
            <w:r>
              <w:fldChar w:fldCharType="begin"/>
            </w:r>
            <w:r>
              <w:instrText xml:space="preserve"> eq \o\ac(□,√)</w:instrText>
            </w:r>
            <w:r>
              <w:fldChar w:fldCharType="end"/>
            </w:r>
            <w:r>
              <w:rPr>
                <w:rFonts w:hint="eastAsia"/>
                <w:lang w:val="en-US" w:eastAsia="zh-CN"/>
              </w:rPr>
              <w:t>手册8.5条款、</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p>
        </w:tc>
        <w:tc>
          <w:tcPr>
            <w:tcW w:w="1290"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41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523"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rFonts w:hint="default" w:eastAsia="宋体"/>
                <w:u w:val="single"/>
                <w:lang w:val="en-US" w:eastAsia="zh-CN"/>
              </w:rPr>
            </w:pPr>
            <w:r>
              <w:t>原材料：</w:t>
            </w:r>
            <w:r>
              <w:rPr>
                <w:u w:val="single"/>
              </w:rPr>
              <w:t xml:space="preserve"> </w:t>
            </w:r>
            <w:r>
              <w:rPr>
                <w:rFonts w:hint="eastAsia"/>
                <w:u w:val="single"/>
              </w:rPr>
              <w:t>香辛料类（八角、桂皮、小茴香、香叶、草果、白芷、孜然粒、白胡椒等）</w:t>
            </w:r>
            <w:r>
              <w:rPr>
                <w:rFonts w:hint="eastAsia"/>
                <w:u w:val="single"/>
                <w:lang w:eastAsia="zh-CN"/>
              </w:rPr>
              <w:t>、</w:t>
            </w:r>
            <w:r>
              <w:rPr>
                <w:rFonts w:hint="eastAsia"/>
                <w:u w:val="single"/>
              </w:rPr>
              <w:t>香辛料</w:t>
            </w:r>
            <w:r>
              <w:rPr>
                <w:rFonts w:hint="eastAsia"/>
                <w:u w:val="single"/>
                <w:lang w:val="en-US" w:eastAsia="zh-CN"/>
              </w:rPr>
              <w:t>类</w:t>
            </w:r>
            <w:r>
              <w:rPr>
                <w:rFonts w:hint="eastAsia"/>
                <w:u w:val="single"/>
              </w:rPr>
              <w:t>（花椒、红花椒、大红袍花椒、红辣椒、小米椒、野山椒、线椒等）</w:t>
            </w:r>
            <w:r>
              <w:rPr>
                <w:u w:val="single"/>
              </w:rPr>
              <w:t xml:space="preserve">  </w:t>
            </w:r>
          </w:p>
          <w:p>
            <w:pPr>
              <w:rPr>
                <w:u w:val="single"/>
              </w:rPr>
            </w:pPr>
            <w:r>
              <w:t>食品添加剂：</w:t>
            </w:r>
            <w:r>
              <w:rPr>
                <w:u w:val="single"/>
              </w:rPr>
              <w:t xml:space="preserve">        无  </w:t>
            </w:r>
          </w:p>
          <w:p>
            <w:pPr>
              <w:rPr>
                <w:u w:val="single"/>
              </w:rPr>
            </w:pPr>
            <w:r>
              <w:t>辅助材料：</w:t>
            </w:r>
            <w:r>
              <w:rPr>
                <w:u w:val="single"/>
              </w:rPr>
              <w:t xml:space="preserve">      </w:t>
            </w:r>
            <w:r>
              <w:rPr>
                <w:rFonts w:hint="eastAsia"/>
                <w:u w:val="single"/>
                <w:lang w:val="en-US" w:eastAsia="zh-CN"/>
              </w:rPr>
              <w:t>水</w:t>
            </w:r>
            <w:r>
              <w:rPr>
                <w:u w:val="single"/>
              </w:rPr>
              <w:t xml:space="preserve">     </w:t>
            </w:r>
          </w:p>
          <w:p>
            <w:pPr>
              <w:rPr>
                <w:u w:val="single"/>
              </w:rPr>
            </w:pPr>
            <w:r>
              <w:t>包装材料：</w:t>
            </w:r>
            <w:r>
              <w:rPr>
                <w:u w:val="single"/>
              </w:rPr>
              <w:t xml:space="preserve">   </w:t>
            </w:r>
            <w:r>
              <w:rPr>
                <w:rFonts w:hint="eastAsia"/>
                <w:u w:val="single"/>
                <w:lang w:val="en-US" w:eastAsia="zh-CN"/>
              </w:rPr>
              <w:t>食品用复合袋、纸箱、编织袋</w:t>
            </w:r>
            <w:r>
              <w:rPr>
                <w:u w:val="single"/>
              </w:rPr>
              <w:t xml:space="preserve">      </w:t>
            </w:r>
          </w:p>
          <w:p>
            <w:pPr>
              <w:rPr>
                <w:u w:val="single"/>
              </w:rPr>
            </w:pP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rFonts w:hint="default" w:eastAsia="宋体"/>
                <w:b/>
                <w:u w:val="single"/>
                <w:lang w:val="en-US" w:eastAsia="zh-CN"/>
              </w:rPr>
            </w:pPr>
            <w:r>
              <w:rPr>
                <w:b/>
                <w:lang w:val="en-GB"/>
              </w:rPr>
              <w:t>最终产品《特性</w:t>
            </w:r>
            <w:r>
              <w:rPr>
                <w:b/>
              </w:rPr>
              <w:t>描述</w:t>
            </w:r>
            <w:r>
              <w:rPr>
                <w:b/>
                <w:lang w:val="en-GB"/>
              </w:rPr>
              <w:t>》</w:t>
            </w:r>
            <w:r>
              <w:rPr>
                <w:b/>
              </w:rPr>
              <w:t>：</w:t>
            </w:r>
            <w:r>
              <w:rPr>
                <w:rFonts w:hint="eastAsia"/>
                <w:b/>
                <w:u w:val="single"/>
                <w:lang w:val="en-US" w:eastAsia="zh-CN"/>
              </w:rPr>
              <w:t>香辛料、香辛料粉类</w:t>
            </w: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lang w:val="en-US" w:eastAsia="zh-CN"/>
              </w:rPr>
              <w:t>大众烹饪用调味品</w:t>
            </w:r>
            <w:r>
              <w:rPr>
                <w:u w:val="single"/>
              </w:rPr>
              <w:t xml:space="preserve"> </w:t>
            </w:r>
          </w:p>
          <w:p/>
          <w:p>
            <w:r>
              <w:t>确定已知特别容易受到特定食品安全危害易感的消费群体/使用者：</w:t>
            </w:r>
          </w:p>
          <w:p>
            <w:r>
              <w:rPr/>
              <w:sym w:font="Wingdings" w:char="00A8"/>
            </w:r>
            <w:r>
              <w:t xml:space="preserve">婴幼儿 </w:t>
            </w:r>
            <w:r>
              <w:rPr/>
              <w:sym w:font="Wingdings" w:char="00A8"/>
            </w:r>
            <w:r>
              <w:t xml:space="preserve">老人  </w:t>
            </w:r>
            <w:r>
              <w:rPr/>
              <w:sym w:font="Wingdings" w:char="00A8"/>
            </w:r>
            <w:r>
              <w:t xml:space="preserve">病人  </w:t>
            </w:r>
            <w:r>
              <w:rPr/>
              <w:sym w:font="Wingdings" w:char="00A8"/>
            </w:r>
            <w:r>
              <w:t xml:space="preserve">易过敏者 </w:t>
            </w:r>
            <w:r>
              <w:rPr/>
              <w:sym w:font="Wingdings" w:char="00A8"/>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原材料、辅料、加工助剂、包装材料、公用工程和和中间产品投入点；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lang w:val="en-GB"/>
              </w:rPr>
            </w:pPr>
            <w:r>
              <w:rPr>
                <w:lang w:val="en-GB"/>
              </w:rPr>
              <w:t>HACCP小组</w:t>
            </w:r>
            <w:r>
              <w:t>于</w:t>
            </w:r>
            <w:r>
              <w:rPr>
                <w:color w:val="0000FF"/>
                <w:szCs w:val="21"/>
                <w:u w:val="single"/>
              </w:rPr>
              <w:t xml:space="preserve"> </w:t>
            </w:r>
            <w:r>
              <w:rPr>
                <w:szCs w:val="21"/>
                <w:u w:val="single"/>
              </w:rPr>
              <w:t xml:space="preserve"> 2021  </w:t>
            </w:r>
            <w:r>
              <w:rPr>
                <w:szCs w:val="21"/>
              </w:rPr>
              <w:t>年</w:t>
            </w:r>
            <w:r>
              <w:rPr>
                <w:szCs w:val="21"/>
                <w:u w:val="single"/>
              </w:rPr>
              <w:t xml:space="preserve"> </w:t>
            </w:r>
            <w:r>
              <w:rPr>
                <w:rFonts w:hint="eastAsia"/>
                <w:szCs w:val="21"/>
                <w:u w:val="single"/>
                <w:lang w:val="en-US" w:eastAsia="zh-CN"/>
              </w:rPr>
              <w:t>1</w:t>
            </w:r>
            <w:r>
              <w:rPr>
                <w:szCs w:val="21"/>
              </w:rPr>
              <w:t>月</w:t>
            </w:r>
            <w:r>
              <w:rPr>
                <w:szCs w:val="21"/>
                <w:u w:val="single"/>
              </w:rPr>
              <w:t xml:space="preserve">  </w:t>
            </w:r>
            <w:r>
              <w:rPr>
                <w:rFonts w:hint="eastAsia"/>
                <w:szCs w:val="21"/>
                <w:u w:val="single"/>
                <w:lang w:val="en-US" w:eastAsia="zh-CN"/>
              </w:rPr>
              <w:t>4</w:t>
            </w:r>
            <w:r>
              <w:rPr>
                <w:szCs w:val="21"/>
                <w:u w:val="single"/>
              </w:rPr>
              <w:t xml:space="preserve"> </w:t>
            </w:r>
            <w:r>
              <w:rPr>
                <w:szCs w:val="21"/>
              </w:rPr>
              <w:t>日</w:t>
            </w:r>
            <w:r>
              <w:t>在现场确认了流程图的准确性。</w:t>
            </w:r>
          </w:p>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33" w:hRule="atLeast"/>
        </w:trPr>
        <w:tc>
          <w:tcPr>
            <w:tcW w:w="2174" w:type="dxa"/>
            <w:vMerge w:val="continue"/>
            <w:shd w:val="clear" w:color="auto" w:fill="auto"/>
          </w:tcPr>
          <w:p/>
        </w:tc>
        <w:tc>
          <w:tcPr>
            <w:tcW w:w="936" w:type="dxa"/>
            <w:gridSpan w:val="2"/>
            <w:shd w:val="clear" w:color="auto" w:fill="auto"/>
          </w:tcPr>
          <w:p/>
        </w:tc>
        <w:tc>
          <w:tcPr>
            <w:tcW w:w="745" w:type="dxa"/>
            <w:shd w:val="clear" w:color="auto" w:fill="auto"/>
          </w:tcPr>
          <w:p/>
        </w:tc>
        <w:tc>
          <w:tcPr>
            <w:tcW w:w="9523"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FE"/>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w:t>
            </w:r>
            <w:r>
              <w:rPr>
                <w:rFonts w:hint="eastAsia"/>
              </w:rPr>
              <w:t>（配送车间布置图）</w:t>
            </w:r>
            <w:r>
              <w:t>（包括：</w:t>
            </w:r>
            <w:r>
              <w:rPr/>
              <w:sym w:font="Wingdings" w:char="00A8"/>
            </w:r>
            <w:r>
              <w:t>清洁区，</w:t>
            </w:r>
            <w:r>
              <w:rPr/>
              <w:sym w:font="Wingdings" w:char="00FE"/>
            </w:r>
            <w:r>
              <w:t>准清洁区，</w:t>
            </w:r>
            <w:r>
              <w:rPr/>
              <w:sym w:font="Wingdings" w:char="00FE"/>
            </w:r>
            <w:r>
              <w:t>一般清洁区）</w:t>
            </w:r>
          </w:p>
          <w:p>
            <w:pPr>
              <w:ind w:firstLine="630" w:firstLineChars="300"/>
            </w:pPr>
            <w:r>
              <w:rPr/>
              <w:sym w:font="Wingdings" w:char="00FE"/>
            </w:r>
            <w:r>
              <w:t>工艺流程图（含循环点、返工、物料进入、废料排出、外包等）</w:t>
            </w:r>
          </w:p>
          <w:p>
            <w:pPr>
              <w:ind w:firstLine="630" w:firstLineChars="300"/>
            </w:pPr>
            <w:r>
              <w:rPr/>
              <w:sym w:font="Wingdings" w:char="00FE"/>
            </w:r>
            <w:r>
              <w:t>人流图，</w:t>
            </w:r>
            <w:r>
              <w:rPr/>
              <w:sym w:font="Wingdings" w:char="00FE"/>
            </w:r>
            <w:r>
              <w:t>气流图，</w:t>
            </w:r>
            <w:r>
              <w:rPr/>
              <w:sym w:font="Wingdings" w:char="00FE"/>
            </w:r>
            <w:r>
              <w:t>水流图，</w:t>
            </w:r>
            <w:r>
              <w:rPr/>
              <w:sym w:font="Wingdings" w:char="00FE"/>
            </w:r>
            <w:r>
              <w:t>物流图，</w:t>
            </w:r>
            <w:r>
              <w:rPr/>
              <w:sym w:font="Wingdings" w:char="00FE"/>
            </w:r>
            <w:r>
              <w:t>防虫害图（蚊蝇、鼠、蟑螂、鸟等）</w:t>
            </w:r>
          </w:p>
          <w:p>
            <w:pPr>
              <w:rPr>
                <w:highlight w:val="yellow"/>
              </w:rPr>
            </w:pP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pPr>
            <w:r>
              <w:rPr/>
              <w:sym w:font="Wingdings" w:char="00FE"/>
            </w:r>
            <w:r>
              <w:t xml:space="preserve">监管机构的要求—— </w:t>
            </w:r>
          </w:p>
          <w:p>
            <w:pPr>
              <w:ind w:firstLine="840" w:firstLineChars="400"/>
              <w:rPr>
                <w:szCs w:val="21"/>
              </w:rPr>
            </w:pPr>
            <w:r>
              <w:rPr/>
              <w:sym w:font="Wingdings" w:char="00FE"/>
            </w:r>
            <w:r>
              <w:t>客户要求——</w:t>
            </w:r>
            <w:r>
              <w:rPr>
                <w:szCs w:val="21"/>
              </w:rPr>
              <w:t>改变</w:t>
            </w:r>
            <w:r>
              <w:rPr>
                <w:rFonts w:hint="eastAsia"/>
                <w:szCs w:val="21"/>
              </w:rPr>
              <w:t>订单/需求</w:t>
            </w:r>
            <w:r>
              <w:rPr>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1290"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撤回/召回</w:t>
            </w:r>
          </w:p>
          <w:p>
            <w:pPr>
              <w:rPr>
                <w:rFonts w:hint="eastAsia"/>
              </w:rPr>
            </w:pPr>
            <w:r>
              <w:rPr>
                <w:rFonts w:hint="eastAsia"/>
              </w:rPr>
              <w:t>应急准备和响应</w:t>
            </w:r>
          </w:p>
        </w:tc>
        <w:tc>
          <w:tcPr>
            <w:tcW w:w="936" w:type="dxa"/>
            <w:gridSpan w:val="2"/>
            <w:vMerge w:val="restart"/>
          </w:tcPr>
          <w:p>
            <w:r>
              <w:t>F8.4</w:t>
            </w:r>
          </w:p>
          <w:p>
            <w:pPr>
              <w:rPr>
                <w:rFonts w:hint="default" w:eastAsia="宋体"/>
                <w:lang w:val="en-US" w:eastAsia="zh-CN"/>
              </w:rPr>
            </w:pPr>
            <w:r>
              <w:rPr>
                <w:rFonts w:hint="eastAsia"/>
                <w:lang w:val="en-US" w:eastAsia="zh-CN"/>
              </w:rPr>
              <w:t>F8.9.5</w:t>
            </w:r>
          </w:p>
        </w:tc>
        <w:tc>
          <w:tcPr>
            <w:tcW w:w="745" w:type="dxa"/>
          </w:tcPr>
          <w:p>
            <w:r>
              <w:t>文件名称</w:t>
            </w:r>
          </w:p>
        </w:tc>
        <w:tc>
          <w:tcPr>
            <w:tcW w:w="9523" w:type="dxa"/>
          </w:tcPr>
          <w:p>
            <w:pPr>
              <w:spacing w:line="480" w:lineRule="exact"/>
            </w:pPr>
            <w:r>
              <w:t>如：</w:t>
            </w:r>
            <w:r>
              <w:rPr/>
              <w:sym w:font="Wingdings" w:char="00FE"/>
            </w:r>
            <w:r>
              <w:rPr>
                <w:rFonts w:hint="eastAsia"/>
              </w:rPr>
              <w:t>《产品标识和可追溯程序》、</w:t>
            </w:r>
            <w:r>
              <w:rPr/>
              <w:sym w:font="Wingdings" w:char="00FE"/>
            </w:r>
            <w:r>
              <w:t>《应急准备和响应程序》</w:t>
            </w:r>
            <w:r>
              <w:rPr>
                <w:rFonts w:hint="eastAsia"/>
              </w:rPr>
              <w:t>、</w:t>
            </w:r>
            <w:r>
              <w:rPr/>
              <w:sym w:font="Wingdings" w:char="00FE"/>
            </w:r>
            <w:r>
              <w:rPr>
                <w:rFonts w:hint="eastAsia"/>
                <w:lang w:eastAsia="zh-CN"/>
              </w:rPr>
              <w:t>《通知和召回程序》</w:t>
            </w:r>
          </w:p>
        </w:tc>
        <w:tc>
          <w:tcPr>
            <w:tcW w:w="1290"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810" w:hRule="atLeast"/>
        </w:trPr>
        <w:tc>
          <w:tcPr>
            <w:tcW w:w="2174" w:type="dxa"/>
            <w:vMerge w:val="continue"/>
          </w:tcPr>
          <w:p/>
        </w:tc>
        <w:tc>
          <w:tcPr>
            <w:tcW w:w="936" w:type="dxa"/>
            <w:gridSpan w:val="2"/>
            <w:vMerge w:val="continue"/>
          </w:tcPr>
          <w:p/>
        </w:tc>
        <w:tc>
          <w:tcPr>
            <w:tcW w:w="745" w:type="dxa"/>
          </w:tcPr>
          <w:p>
            <w:r>
              <w:t>运行证据</w:t>
            </w:r>
          </w:p>
        </w:tc>
        <w:tc>
          <w:tcPr>
            <w:tcW w:w="9523" w:type="dxa"/>
          </w:tcPr>
          <w:p>
            <w:pPr>
              <w:rPr>
                <w:rFonts w:hint="eastAsia"/>
                <w:highlight w:val="none"/>
              </w:rPr>
            </w:pPr>
            <w:r>
              <w:rPr>
                <w:rFonts w:hint="eastAsia"/>
                <w:highlight w:val="none"/>
              </w:rPr>
              <w:t>于2</w:t>
            </w:r>
            <w:r>
              <w:rPr>
                <w:highlight w:val="none"/>
              </w:rPr>
              <w:t>021</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16</w:t>
            </w:r>
            <w:r>
              <w:rPr>
                <w:rFonts w:hint="eastAsia"/>
                <w:highlight w:val="none"/>
              </w:rPr>
              <w:t>日开展了</w:t>
            </w:r>
            <w:r>
              <w:rPr>
                <w:rFonts w:hint="eastAsia"/>
                <w:highlight w:val="none"/>
                <w:u w:val="single"/>
              </w:rPr>
              <w:t>消防应急演练</w:t>
            </w:r>
            <w:r>
              <w:rPr>
                <w:rFonts w:hint="eastAsia"/>
                <w:highlight w:val="none"/>
              </w:rPr>
              <w:t>。基本符合要求。</w:t>
            </w:r>
          </w:p>
          <w:p>
            <w:r>
              <w:t>有权决定撤回/召回人员：</w:t>
            </w:r>
            <w:r>
              <w:rPr>
                <w:rFonts w:hint="eastAsia"/>
                <w:u w:val="single"/>
              </w:rPr>
              <w:t xml:space="preserve"> </w:t>
            </w:r>
            <w:r>
              <w:rPr>
                <w:u w:val="single"/>
              </w:rPr>
              <w:t xml:space="preserve"> </w:t>
            </w:r>
            <w:r>
              <w:rPr>
                <w:rFonts w:hint="eastAsia"/>
                <w:u w:val="single"/>
                <w:lang w:val="en-US" w:eastAsia="zh-CN"/>
              </w:rPr>
              <w:t>食品安全小组组长或</w:t>
            </w:r>
            <w:r>
              <w:rPr>
                <w:u w:val="single"/>
              </w:rPr>
              <w:t xml:space="preserve">总经理  </w:t>
            </w:r>
            <w:r>
              <w:t xml:space="preserve">；  </w:t>
            </w:r>
          </w:p>
          <w:p>
            <w:r>
              <w:t>确保及时撤回/召回被确定为潜在不安全的大量最终产品。</w:t>
            </w:r>
          </w:p>
          <w:p>
            <w:r>
              <w:t>组织的撤回/召回流程，包括：</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t>实施责任部门</w:t>
                  </w:r>
                </w:p>
              </w:tc>
              <w:tc>
                <w:tcPr>
                  <w:tcW w:w="3015" w:type="dxa"/>
                  <w:shd w:val="clear" w:color="auto" w:fill="auto"/>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通知法定和监管机构</w:t>
                  </w:r>
                </w:p>
              </w:tc>
              <w:tc>
                <w:tcPr>
                  <w:tcW w:w="2193" w:type="dxa"/>
                  <w:shd w:val="clear" w:color="auto" w:fill="auto"/>
                </w:tcPr>
                <w:p>
                  <w:pPr>
                    <w:rPr>
                      <w:rFonts w:hint="default" w:eastAsia="宋体"/>
                      <w:lang w:val="en-US" w:eastAsia="zh-CN"/>
                    </w:rPr>
                  </w:pPr>
                  <w:r>
                    <w:rPr>
                      <w:rFonts w:hint="eastAsia"/>
                      <w:lang w:val="en-US" w:eastAsia="zh-CN"/>
                    </w:rPr>
                    <w:t>食品安全小组组长</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通知客户</w:t>
                  </w:r>
                </w:p>
              </w:tc>
              <w:tc>
                <w:tcPr>
                  <w:tcW w:w="2193" w:type="dxa"/>
                  <w:shd w:val="clear" w:color="auto" w:fill="auto"/>
                </w:tcPr>
                <w:p>
                  <w:pPr>
                    <w:rPr>
                      <w:rFonts w:hint="eastAsia" w:eastAsia="宋体"/>
                      <w:lang w:eastAsia="zh-CN"/>
                    </w:rPr>
                  </w:pPr>
                  <w:r>
                    <w:rPr>
                      <w:rFonts w:hint="eastAsia"/>
                      <w:lang w:val="en-US" w:eastAsia="zh-CN"/>
                    </w:rPr>
                    <w:t>销售部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通知消费者</w:t>
                  </w:r>
                </w:p>
              </w:tc>
              <w:tc>
                <w:tcPr>
                  <w:tcW w:w="2193" w:type="dxa"/>
                  <w:shd w:val="clear" w:color="auto" w:fill="auto"/>
                </w:tcPr>
                <w:p>
                  <w:r>
                    <w:rPr>
                      <w:rFonts w:hint="eastAsia"/>
                      <w:lang w:val="en-US" w:eastAsia="zh-CN"/>
                    </w:rPr>
                    <w:t>销售部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处置撤回产品</w:t>
                  </w:r>
                </w:p>
              </w:tc>
              <w:tc>
                <w:tcPr>
                  <w:tcW w:w="2193" w:type="dxa"/>
                  <w:shd w:val="clear" w:color="auto" w:fill="auto"/>
                </w:tcPr>
                <w:p>
                  <w:pPr>
                    <w:rPr>
                      <w:rFonts w:hint="default" w:eastAsia="宋体"/>
                      <w:lang w:val="en-US" w:eastAsia="zh-CN"/>
                    </w:rPr>
                  </w:pPr>
                  <w:r>
                    <w:rPr>
                      <w:rFonts w:hint="eastAsia"/>
                      <w:lang w:val="en-US" w:eastAsia="zh-CN"/>
                    </w:rPr>
                    <w:t>生产部、品管部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处置库存中受影响的批次/批号产品</w:t>
                  </w:r>
                </w:p>
              </w:tc>
              <w:tc>
                <w:tcPr>
                  <w:tcW w:w="2193" w:type="dxa"/>
                  <w:shd w:val="clear" w:color="auto" w:fill="auto"/>
                </w:tcPr>
                <w:p>
                  <w:r>
                    <w:rPr>
                      <w:rFonts w:hint="eastAsia"/>
                      <w:lang w:val="en-US" w:eastAsia="zh-CN"/>
                    </w:rPr>
                    <w:t>生产部、品管部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安排采取措施的顺序</w:t>
                  </w:r>
                </w:p>
              </w:tc>
              <w:tc>
                <w:tcPr>
                  <w:tcW w:w="2193" w:type="dxa"/>
                  <w:shd w:val="clear" w:color="auto" w:fill="auto"/>
                </w:tcPr>
                <w:p>
                  <w:r>
                    <w:t>食品安全小组</w:t>
                  </w:r>
                </w:p>
              </w:tc>
              <w:tc>
                <w:tcPr>
                  <w:tcW w:w="3015" w:type="dxa"/>
                  <w:shd w:val="clear" w:color="auto" w:fill="auto"/>
                </w:tcPr>
                <w:p/>
              </w:tc>
            </w:tr>
          </w:tbl>
          <w:p/>
          <w:p>
            <w:r>
              <w:t>本部门是否发生产品的</w:t>
            </w:r>
            <w:r>
              <w:rPr/>
              <w:sym w:font="Wingdings" w:char="00A8"/>
            </w:r>
            <w:r>
              <w:t>撤回或</w:t>
            </w:r>
            <w:r>
              <w:rPr/>
              <w:sym w:font="Wingdings" w:char="00A8"/>
            </w:r>
            <w:r>
              <w:t>召回的情况：</w:t>
            </w:r>
          </w:p>
          <w:p>
            <w:pPr>
              <w:rPr>
                <w:u w:val="single"/>
              </w:rPr>
            </w:pPr>
            <w:r>
              <w:rPr/>
              <w:sym w:font="Wingdings" w:char="00FE"/>
            </w:r>
            <w:r>
              <w:t xml:space="preserve">未发生 </w:t>
            </w:r>
            <w:r>
              <w:rPr/>
              <w:sym w:font="Wingdings" w:char="00A8"/>
            </w:r>
            <w:r>
              <w:t>已发生，说明</w:t>
            </w:r>
            <w:r>
              <w:rPr>
                <w:u w:val="single"/>
              </w:rPr>
              <w:t xml:space="preserve">                       </w:t>
            </w:r>
          </w:p>
          <w:p/>
          <w:p>
            <w:pPr>
              <w:rPr>
                <w:u w:val="single"/>
              </w:rPr>
            </w:pPr>
            <w:r>
              <w:t>本部门是否发生产品的撤回或召回方面的处置：</w:t>
            </w:r>
            <w:r>
              <w:rPr/>
              <w:sym w:font="Wingdings" w:char="00FE"/>
            </w:r>
            <w:r>
              <w:t xml:space="preserve">未发生 </w:t>
            </w:r>
            <w:r>
              <w:rPr/>
              <w:sym w:font="Wingdings" w:char="00A8"/>
            </w:r>
            <w:r>
              <w:t>已发生，说明</w:t>
            </w:r>
            <w:r>
              <w:rPr>
                <w:u w:val="single"/>
              </w:rPr>
              <w:t xml:space="preserve">                       </w:t>
            </w:r>
          </w:p>
          <w:p>
            <w:pPr>
              <w:rPr>
                <w:rFonts w:hint="default" w:eastAsia="宋体"/>
                <w:lang w:val="en-US" w:eastAsia="zh-CN"/>
              </w:rPr>
            </w:pPr>
            <w:r>
              <w:rPr>
                <w:rFonts w:hint="eastAsia"/>
                <w:lang w:val="en-US" w:eastAsia="zh-CN"/>
              </w:rPr>
              <w:t>参加公司组织的撤回/召回演练</w:t>
            </w:r>
          </w:p>
          <w:tbl>
            <w:tblPr>
              <w:tblStyle w:val="1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208"/>
              <w:gridCol w:w="1228"/>
              <w:gridCol w:w="1145"/>
              <w:gridCol w:w="1143"/>
              <w:gridCol w:w="85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rPr>
                      <w:highlight w:val="none"/>
                    </w:rPr>
                  </w:pPr>
                  <w:r>
                    <w:rPr>
                      <w:highlight w:val="none"/>
                    </w:rPr>
                    <w:t>产品批号</w:t>
                  </w:r>
                </w:p>
              </w:tc>
              <w:tc>
                <w:tcPr>
                  <w:tcW w:w="2208" w:type="dxa"/>
                </w:tcPr>
                <w:p>
                  <w:pPr>
                    <w:rPr>
                      <w:highlight w:val="none"/>
                    </w:rPr>
                  </w:pPr>
                  <w:r>
                    <w:rPr>
                      <w:highlight w:val="none"/>
                    </w:rPr>
                    <w:t>不合格简述</w:t>
                  </w:r>
                </w:p>
              </w:tc>
              <w:tc>
                <w:tcPr>
                  <w:tcW w:w="1228" w:type="dxa"/>
                </w:tcPr>
                <w:p>
                  <w:pPr>
                    <w:rPr>
                      <w:highlight w:val="none"/>
                    </w:rPr>
                  </w:pPr>
                  <w:r>
                    <w:rPr>
                      <w:highlight w:val="none"/>
                    </w:rPr>
                    <w:t>生产记录情况</w:t>
                  </w:r>
                </w:p>
              </w:tc>
              <w:tc>
                <w:tcPr>
                  <w:tcW w:w="1145" w:type="dxa"/>
                </w:tcPr>
                <w:p>
                  <w:pPr>
                    <w:rPr>
                      <w:highlight w:val="none"/>
                    </w:rPr>
                  </w:pPr>
                  <w:r>
                    <w:rPr>
                      <w:highlight w:val="none"/>
                    </w:rPr>
                    <w:t>检验记录情况</w:t>
                  </w:r>
                </w:p>
              </w:tc>
              <w:tc>
                <w:tcPr>
                  <w:tcW w:w="1143" w:type="dxa"/>
                </w:tcPr>
                <w:p>
                  <w:pPr>
                    <w:rPr>
                      <w:highlight w:val="none"/>
                    </w:rPr>
                  </w:pPr>
                  <w:r>
                    <w:rPr>
                      <w:highlight w:val="none"/>
                    </w:rPr>
                    <w:t>采购记录情况</w:t>
                  </w:r>
                </w:p>
              </w:tc>
              <w:tc>
                <w:tcPr>
                  <w:tcW w:w="850" w:type="dxa"/>
                </w:tcPr>
                <w:p>
                  <w:pPr>
                    <w:rPr>
                      <w:highlight w:val="none"/>
                    </w:rPr>
                  </w:pPr>
                  <w:r>
                    <w:rPr>
                      <w:highlight w:val="none"/>
                    </w:rPr>
                    <w:t>产品留样确认</w:t>
                  </w:r>
                </w:p>
              </w:tc>
              <w:tc>
                <w:tcPr>
                  <w:tcW w:w="1588" w:type="dxa"/>
                </w:tcPr>
                <w:p>
                  <w:pPr>
                    <w:rPr>
                      <w:highlight w:val="none"/>
                    </w:rPr>
                  </w:pPr>
                  <w:r>
                    <w:rPr>
                      <w:highlight w:val="none"/>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rPr>
                      <w:rFonts w:hint="default" w:eastAsia="宋体"/>
                      <w:highlight w:val="none"/>
                      <w:lang w:val="en-US" w:eastAsia="zh-CN"/>
                    </w:rPr>
                  </w:pPr>
                  <w:r>
                    <w:rPr>
                      <w:rFonts w:hint="default" w:eastAsia="宋体"/>
                      <w:highlight w:val="none"/>
                      <w:lang w:val="en-US" w:eastAsia="zh-CN"/>
                    </w:rPr>
                    <w:t>20210326</w:t>
                  </w:r>
                </w:p>
              </w:tc>
              <w:tc>
                <w:tcPr>
                  <w:tcW w:w="2208" w:type="dxa"/>
                </w:tcPr>
                <w:p>
                  <w:pPr>
                    <w:adjustRightInd/>
                    <w:snapToGrid/>
                    <w:spacing w:after="0" w:line="276" w:lineRule="auto"/>
                    <w:rPr>
                      <w:highlight w:val="none"/>
                    </w:rPr>
                  </w:pPr>
                  <w:r>
                    <w:rPr>
                      <w:rFonts w:hint="eastAsia"/>
                      <w:sz w:val="21"/>
                      <w:szCs w:val="21"/>
                      <w:lang w:val="en-US" w:eastAsia="zh-CN"/>
                    </w:rPr>
                    <w:t>顾客反馈销售的20210326批次八角漏气发霉</w:t>
                  </w:r>
                </w:p>
              </w:tc>
              <w:tc>
                <w:tcPr>
                  <w:tcW w:w="1228" w:type="dxa"/>
                </w:tcPr>
                <w:p>
                  <w:pPr>
                    <w:rPr>
                      <w:highlight w:val="none"/>
                    </w:rPr>
                  </w:pPr>
                  <w:r>
                    <w:rPr>
                      <w:rFonts w:hint="eastAsia" w:eastAsia="宋体"/>
                      <w:highlight w:val="none"/>
                      <w:lang w:val="en-US" w:eastAsia="zh-CN"/>
                    </w:rPr>
                    <w:t>——</w:t>
                  </w:r>
                </w:p>
              </w:tc>
              <w:tc>
                <w:tcPr>
                  <w:tcW w:w="1145" w:type="dxa"/>
                </w:tcPr>
                <w:p>
                  <w:pPr>
                    <w:rPr>
                      <w:highlight w:val="none"/>
                    </w:rPr>
                  </w:pPr>
                  <w:r>
                    <w:rPr>
                      <w:rFonts w:hint="eastAsia" w:eastAsia="宋体"/>
                      <w:highlight w:val="none"/>
                      <w:lang w:val="en-US" w:eastAsia="zh-CN"/>
                    </w:rPr>
                    <w:t>——</w:t>
                  </w:r>
                </w:p>
              </w:tc>
              <w:tc>
                <w:tcPr>
                  <w:tcW w:w="1143" w:type="dxa"/>
                </w:tcPr>
                <w:p>
                  <w:pPr>
                    <w:rPr>
                      <w:rFonts w:hint="default" w:eastAsia="宋体"/>
                      <w:highlight w:val="none"/>
                      <w:lang w:val="en-US" w:eastAsia="zh-CN"/>
                    </w:rPr>
                  </w:pPr>
                  <w:r>
                    <w:rPr>
                      <w:rFonts w:hint="eastAsia"/>
                      <w:highlight w:val="none"/>
                      <w:lang w:val="en-US" w:eastAsia="zh-CN"/>
                    </w:rPr>
                    <w:t>——</w:t>
                  </w:r>
                </w:p>
              </w:tc>
              <w:tc>
                <w:tcPr>
                  <w:tcW w:w="850" w:type="dxa"/>
                </w:tcPr>
                <w:p>
                  <w:pPr>
                    <w:rPr>
                      <w:highlight w:val="none"/>
                    </w:rPr>
                  </w:pPr>
                  <w:r>
                    <w:rPr>
                      <w:rFonts w:hint="default" w:eastAsia="宋体"/>
                      <w:highlight w:val="none"/>
                      <w:lang w:val="en-US" w:eastAsia="zh-CN"/>
                    </w:rPr>
                    <w:t>20210326</w:t>
                  </w:r>
                </w:p>
              </w:tc>
              <w:tc>
                <w:tcPr>
                  <w:tcW w:w="1588" w:type="dxa"/>
                </w:tcPr>
                <w:p>
                  <w:pPr>
                    <w:spacing w:line="276" w:lineRule="auto"/>
                    <w:rPr>
                      <w:highlight w:val="none"/>
                    </w:rPr>
                  </w:pPr>
                  <w:r>
                    <w:rPr>
                      <w:rFonts w:hint="eastAsia"/>
                      <w:highlight w:val="none"/>
                    </w:rPr>
                    <w:t>召回产品数量为1吨，处置方式：报废。</w:t>
                  </w:r>
                </w:p>
              </w:tc>
            </w:tr>
          </w:tbl>
          <w:p/>
          <w:p>
            <w:pPr>
              <w:pStyle w:val="11"/>
              <w:rPr>
                <w:rFonts w:ascii="Times New Roman" w:hAnsi="Times New Roman"/>
              </w:rPr>
            </w:pPr>
          </w:p>
          <w:p>
            <w:pPr>
              <w:rPr>
                <w:rFonts w:hint="default"/>
                <w:lang w:val="en-US"/>
              </w:rPr>
            </w:pPr>
            <w:r>
              <w:t>结论：</w:t>
            </w:r>
            <w:r>
              <w:rPr/>
              <w:sym w:font="Wingdings" w:char="00A8"/>
            </w:r>
            <w:r>
              <w:t>能够确保完整、 及时地撤回已被识别为潜在不安全的批次/批号产品</w:t>
            </w:r>
            <w:r>
              <w:rPr>
                <w:rFonts w:hint="eastAsia"/>
                <w:lang w:val="en-US" w:eastAsia="zh-CN"/>
              </w:rPr>
              <w:t xml:space="preserve"> </w:t>
            </w:r>
          </w:p>
          <w:p>
            <w:pPr>
              <w:ind w:firstLine="630" w:firstLineChars="300"/>
              <w:rPr>
                <w:u w:val="single"/>
              </w:rPr>
            </w:pPr>
            <w:r>
              <w:rPr/>
              <w:sym w:font="Wingdings" w:char="00FE"/>
            </w:r>
            <w:r>
              <w:t>不能够确保完整、 及时地撤回已被识别为潜在不安全的批次/批号产品，说明：</w:t>
            </w:r>
            <w:r>
              <w:rPr>
                <w:u w:val="single"/>
              </w:rPr>
              <w:t xml:space="preserve"> </w:t>
            </w:r>
            <w:r>
              <w:rPr>
                <w:rFonts w:hint="eastAsia"/>
                <w:u w:val="single"/>
                <w:lang w:val="en-US" w:eastAsia="zh-CN"/>
              </w:rPr>
              <w:t>未明确对生产、质量检测的批次确认，未保留相对应的原始记录，已现场沟通，后期改进。</w:t>
            </w:r>
            <w:r>
              <w:rPr>
                <w:u w:val="single"/>
              </w:rPr>
              <w:t xml:space="preserve">        </w:t>
            </w:r>
          </w:p>
          <w:p/>
          <w:p>
            <w:r>
              <w:t>见《产品召回记录》， 并向最高管理者报告， 作为管理评审的输入。</w:t>
            </w:r>
          </w:p>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危害分析</w:t>
            </w:r>
          </w:p>
        </w:tc>
        <w:tc>
          <w:tcPr>
            <w:tcW w:w="936" w:type="dxa"/>
            <w:gridSpan w:val="2"/>
            <w:vMerge w:val="restart"/>
            <w:shd w:val="clear" w:color="auto" w:fill="auto"/>
          </w:tcPr>
          <w:p>
            <w:r>
              <w:t>F8.5.2</w:t>
            </w:r>
          </w:p>
          <w:p/>
        </w:tc>
        <w:tc>
          <w:tcPr>
            <w:tcW w:w="745" w:type="dxa"/>
            <w:shd w:val="clear" w:color="auto" w:fill="auto"/>
          </w:tcPr>
          <w:p>
            <w:r>
              <w:t>文件名称</w:t>
            </w:r>
          </w:p>
        </w:tc>
        <w:tc>
          <w:tcPr>
            <w:tcW w:w="9523"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1290"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0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523" w:type="dxa"/>
            <w:shd w:val="clear" w:color="auto" w:fill="auto"/>
          </w:tcPr>
          <w:p>
            <w:r>
              <w:t>食品安全小组于</w:t>
            </w:r>
            <w:r>
              <w:rPr>
                <w:u w:val="single"/>
              </w:rPr>
              <w:t xml:space="preserve">  2021 </w:t>
            </w:r>
            <w:r>
              <w:t>年</w:t>
            </w:r>
            <w:r>
              <w:rPr>
                <w:u w:val="single"/>
              </w:rPr>
              <w:t xml:space="preserve"> </w:t>
            </w:r>
            <w:r>
              <w:rPr>
                <w:rFonts w:hint="eastAsia"/>
                <w:u w:val="single"/>
                <w:lang w:val="en-US" w:eastAsia="zh-CN"/>
              </w:rPr>
              <w:t>1</w:t>
            </w:r>
            <w:r>
              <w:t>月</w:t>
            </w:r>
            <w:r>
              <w:rPr>
                <w:u w:val="single"/>
              </w:rPr>
              <w:t xml:space="preserve"> </w:t>
            </w:r>
            <w:r>
              <w:rPr>
                <w:rFonts w:hint="eastAsia"/>
                <w:u w:val="single"/>
                <w:lang w:val="en-US" w:eastAsia="zh-CN"/>
              </w:rPr>
              <w:t>4</w:t>
            </w:r>
            <w:r>
              <w:t>日根据初步情况进行危害分析，确定需要控制的危害。控制程度应确保食品安全，并在适当情况下采用多种控制措施的组合。</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highlight w:val="none"/>
              </w:rPr>
            </w:pPr>
            <w:r>
              <w:rPr>
                <w:b/>
                <w:bCs/>
                <w:highlight w:val="none"/>
                <w:lang w:val="en-GB"/>
              </w:rPr>
              <w:t>显著危害</w:t>
            </w:r>
            <w:r>
              <w:rPr>
                <w:b/>
                <w:bCs/>
                <w:highlight w:val="none"/>
              </w:rPr>
              <w:t>包括：</w:t>
            </w:r>
          </w:p>
          <w:p>
            <w:pPr>
              <w:rPr>
                <w:highlight w:val="none"/>
              </w:rPr>
            </w:pPr>
            <w:r>
              <w:rPr>
                <w:highlight w:val="none"/>
              </w:rPr>
              <w:t>化学危害：</w:t>
            </w:r>
            <w:r>
              <w:rPr>
                <w:highlight w:val="none"/>
              </w:rPr>
              <w:sym w:font="Wingdings" w:char="00FE"/>
            </w:r>
            <w:r>
              <w:rPr>
                <w:highlight w:val="none"/>
              </w:rPr>
              <w:t xml:space="preserve">重金属  </w:t>
            </w:r>
            <w:r>
              <w:rPr>
                <w:highlight w:val="none"/>
              </w:rPr>
              <w:sym w:font="Wingdings" w:char="00FE"/>
            </w:r>
            <w:r>
              <w:rPr>
                <w:highlight w:val="none"/>
              </w:rPr>
              <w:t xml:space="preserve">农药残留  </w:t>
            </w:r>
            <w:r>
              <w:rPr>
                <w:highlight w:val="none"/>
              </w:rPr>
              <w:sym w:font="Wingdings" w:char="00A8"/>
            </w:r>
            <w:r>
              <w:rPr>
                <w:highlight w:val="none"/>
              </w:rPr>
              <w:t xml:space="preserve">兽药残留  </w:t>
            </w:r>
            <w:r>
              <w:rPr>
                <w:highlight w:val="none"/>
              </w:rPr>
              <w:sym w:font="Wingdings" w:char="00A8"/>
            </w:r>
            <w:r>
              <w:rPr>
                <w:highlight w:val="none"/>
              </w:rPr>
              <w:t xml:space="preserve">黄曲霉毒素  </w:t>
            </w:r>
            <w:r>
              <w:rPr>
                <w:highlight w:val="none"/>
              </w:rPr>
              <w:sym w:font="Wingdings" w:char="00A8"/>
            </w:r>
            <w:r>
              <w:rPr>
                <w:highlight w:val="none"/>
              </w:rPr>
              <w:t xml:space="preserve">放射性物质 </w:t>
            </w:r>
            <w:r>
              <w:rPr>
                <w:highlight w:val="none"/>
              </w:rPr>
              <w:sym w:font="Wingdings" w:char="00A8"/>
            </w:r>
            <w:r>
              <w:rPr>
                <w:highlight w:val="none"/>
              </w:rPr>
              <w:t xml:space="preserve">贝类毒素 </w:t>
            </w:r>
          </w:p>
          <w:p>
            <w:pPr>
              <w:ind w:firstLine="840" w:firstLineChars="400"/>
              <w:rPr>
                <w:highlight w:val="none"/>
              </w:rPr>
            </w:pPr>
            <w:r>
              <w:rPr>
                <w:highlight w:val="none"/>
              </w:rPr>
              <w:t xml:space="preserve">  </w:t>
            </w:r>
            <w:r>
              <w:rPr>
                <w:highlight w:val="none"/>
              </w:rPr>
              <w:sym w:font="Wingdings" w:char="00A8"/>
            </w:r>
            <w:r>
              <w:rPr>
                <w:highlight w:val="none"/>
              </w:rPr>
              <w:t xml:space="preserve">超量的食品添加剂   </w:t>
            </w:r>
            <w:r>
              <w:rPr>
                <w:highlight w:val="none"/>
              </w:rPr>
              <w:sym w:font="Wingdings" w:char="00A8"/>
            </w:r>
            <w:r>
              <w:rPr>
                <w:highlight w:val="none"/>
              </w:rPr>
              <w:t xml:space="preserve">化学品（润滑油、清洁剂、消毒剂、杀虫剂）  </w:t>
            </w:r>
            <w:r>
              <w:rPr>
                <w:highlight w:val="none"/>
              </w:rPr>
              <w:sym w:font="Wingdings" w:char="00A8"/>
            </w:r>
            <w:r>
              <w:rPr>
                <w:highlight w:val="none"/>
              </w:rPr>
              <w:t xml:space="preserve"> </w:t>
            </w:r>
            <w:r>
              <w:rPr>
                <w:bCs/>
                <w:highlight w:val="none"/>
                <w:lang w:val="en-GB"/>
              </w:rPr>
              <w:t>苯并芘</w:t>
            </w:r>
            <w:r>
              <w:rPr>
                <w:b/>
                <w:color w:val="0000FF"/>
                <w:highlight w:val="none"/>
              </w:rPr>
              <w:t xml:space="preserve"> </w:t>
            </w:r>
            <w:r>
              <w:rPr>
                <w:highlight w:val="none"/>
              </w:rPr>
              <w:t xml:space="preserve">  </w:t>
            </w:r>
          </w:p>
          <w:p>
            <w:pPr>
              <w:ind w:firstLine="1050" w:firstLineChars="500"/>
              <w:rPr>
                <w:highlight w:val="none"/>
              </w:rPr>
            </w:pPr>
            <w:r>
              <w:rPr>
                <w:highlight w:val="none"/>
              </w:rPr>
              <w:sym w:font="Wingdings" w:char="00A8"/>
            </w:r>
            <w:r>
              <w:rPr>
                <w:highlight w:val="none"/>
              </w:rPr>
              <w:t xml:space="preserve">二氧化硫残留 </w:t>
            </w:r>
            <w:r>
              <w:rPr>
                <w:highlight w:val="none"/>
              </w:rPr>
              <w:sym w:font="Wingdings" w:char="00A8"/>
            </w:r>
            <w:r>
              <w:rPr>
                <w:highlight w:val="none"/>
              </w:rPr>
              <w:t xml:space="preserve">有毒有害种子 </w:t>
            </w:r>
            <w:r>
              <w:rPr>
                <w:highlight w:val="none"/>
              </w:rPr>
              <w:sym w:font="Wingdings" w:char="00A8"/>
            </w:r>
            <w:r>
              <w:rPr>
                <w:highlight w:val="none"/>
              </w:rPr>
              <w:t>其他</w:t>
            </w:r>
          </w:p>
          <w:p>
            <w:pPr>
              <w:rPr>
                <w:highlight w:val="none"/>
              </w:rPr>
            </w:pPr>
            <w:r>
              <w:rPr>
                <w:highlight w:val="none"/>
              </w:rPr>
              <w:t>生物危害：</w:t>
            </w:r>
            <w:r>
              <w:rPr>
                <w:highlight w:val="none"/>
              </w:rPr>
              <w:sym w:font="Wingdings" w:char="00FE"/>
            </w:r>
            <w:r>
              <w:rPr>
                <w:highlight w:val="none"/>
              </w:rPr>
              <w:t xml:space="preserve">大肠杆菌    </w:t>
            </w:r>
            <w:r>
              <w:rPr>
                <w:highlight w:val="none"/>
              </w:rPr>
              <w:sym w:font="Wingdings" w:char="00A8"/>
            </w:r>
            <w:r>
              <w:rPr>
                <w:highlight w:val="none"/>
              </w:rPr>
              <w:t xml:space="preserve">金黄色葡萄球菌  </w:t>
            </w:r>
            <w:r>
              <w:rPr>
                <w:highlight w:val="none"/>
              </w:rPr>
              <w:sym w:font="Wingdings" w:char="00A8"/>
            </w:r>
            <w:r>
              <w:rPr>
                <w:highlight w:val="none"/>
              </w:rPr>
              <w:t xml:space="preserve">志贺氏菌  </w:t>
            </w:r>
            <w:r>
              <w:rPr>
                <w:highlight w:val="none"/>
              </w:rPr>
              <w:sym w:font="Wingdings" w:char="00A8"/>
            </w:r>
            <w:r>
              <w:rPr>
                <w:highlight w:val="none"/>
              </w:rPr>
              <w:t xml:space="preserve">霉菌  </w:t>
            </w:r>
            <w:r>
              <w:rPr>
                <w:highlight w:val="none"/>
              </w:rPr>
              <w:sym w:font="Wingdings" w:char="00A8"/>
            </w:r>
            <w:r>
              <w:rPr>
                <w:highlight w:val="none"/>
              </w:rPr>
              <w:t xml:space="preserve">酵母菌 </w:t>
            </w:r>
            <w:r>
              <w:rPr>
                <w:highlight w:val="none"/>
              </w:rPr>
              <w:sym w:font="Wingdings" w:char="00A8"/>
            </w:r>
            <w:r>
              <w:rPr>
                <w:highlight w:val="none"/>
              </w:rPr>
              <w:t>沙门氏菌</w:t>
            </w:r>
          </w:p>
          <w:p>
            <w:pPr>
              <w:rPr>
                <w:rFonts w:hint="eastAsia"/>
                <w:highlight w:val="none"/>
                <w:lang w:val="en-US" w:eastAsia="zh-CN"/>
              </w:rPr>
            </w:pPr>
            <w:r>
              <w:rPr>
                <w:highlight w:val="none"/>
              </w:rPr>
              <w:t xml:space="preserve">          </w:t>
            </w:r>
            <w:r>
              <w:rPr>
                <w:highlight w:val="none"/>
              </w:rPr>
              <w:sym w:font="Wingdings" w:char="00A8"/>
            </w:r>
            <w:r>
              <w:rPr>
                <w:highlight w:val="none"/>
              </w:rPr>
              <w:t xml:space="preserve">副溶血弧菌 </w:t>
            </w:r>
            <w:r>
              <w:rPr>
                <w:highlight w:val="none"/>
              </w:rPr>
              <w:sym w:font="Wingdings" w:char="00A8"/>
            </w:r>
            <w:r>
              <w:rPr>
                <w:highlight w:val="none"/>
              </w:rPr>
              <w:t xml:space="preserve">寄生虫   </w:t>
            </w:r>
            <w:r>
              <w:rPr>
                <w:highlight w:val="none"/>
              </w:rPr>
              <w:sym w:font="Wingdings" w:char="00A8"/>
            </w:r>
            <w:r>
              <w:rPr>
                <w:highlight w:val="none"/>
              </w:rPr>
              <w:t xml:space="preserve">革兰氏阳性菌  </w:t>
            </w:r>
            <w:r>
              <w:rPr>
                <w:highlight w:val="none"/>
              </w:rPr>
              <w:sym w:font="Wingdings" w:char="00A8"/>
            </w:r>
            <w:r>
              <w:rPr>
                <w:highlight w:val="none"/>
              </w:rPr>
              <w:t xml:space="preserve">革兰氏阴性菌      </w:t>
            </w:r>
            <w:r>
              <w:rPr>
                <w:highlight w:val="none"/>
              </w:rPr>
              <w:sym w:font="Wingdings" w:char="00FE"/>
            </w:r>
            <w:r>
              <w:rPr>
                <w:highlight w:val="none"/>
              </w:rPr>
              <w:t>其他</w:t>
            </w:r>
            <w:r>
              <w:rPr>
                <w:rFonts w:hint="eastAsia"/>
                <w:highlight w:val="none"/>
                <w:lang w:eastAsia="zh-CN"/>
              </w:rPr>
              <w:t>——</w:t>
            </w:r>
            <w:r>
              <w:rPr>
                <w:rFonts w:hint="eastAsia"/>
                <w:highlight w:val="none"/>
                <w:lang w:val="en-US" w:eastAsia="zh-CN"/>
              </w:rPr>
              <w:t>菌落总数</w:t>
            </w:r>
          </w:p>
          <w:p>
            <w:pPr>
              <w:rPr>
                <w:highlight w:val="none"/>
              </w:rPr>
            </w:pPr>
            <w:r>
              <w:rPr>
                <w:highlight w:val="none"/>
              </w:rPr>
              <w:t>物理危害：</w:t>
            </w:r>
            <w:r>
              <w:rPr>
                <w:highlight w:val="none"/>
              </w:rPr>
              <w:sym w:font="Wingdings" w:char="00FE"/>
            </w:r>
            <w:r>
              <w:rPr>
                <w:highlight w:val="none"/>
              </w:rPr>
              <w:t xml:space="preserve">金属屑  </w:t>
            </w:r>
            <w:r>
              <w:rPr>
                <w:highlight w:val="none"/>
              </w:rPr>
              <w:sym w:font="Wingdings" w:char="00FE"/>
            </w:r>
            <w:r>
              <w:rPr>
                <w:highlight w:val="none"/>
              </w:rPr>
              <w:t xml:space="preserve">玻璃渣  </w:t>
            </w:r>
            <w:r>
              <w:rPr>
                <w:highlight w:val="none"/>
              </w:rPr>
              <w:sym w:font="Wingdings" w:char="00FE"/>
            </w:r>
            <w:r>
              <w:rPr>
                <w:highlight w:val="none"/>
              </w:rPr>
              <w:t xml:space="preserve">碎石  </w:t>
            </w:r>
            <w:r>
              <w:rPr>
                <w:highlight w:val="none"/>
              </w:rPr>
              <w:sym w:font="Wingdings" w:char="00FE"/>
            </w:r>
            <w:r>
              <w:rPr>
                <w:highlight w:val="none"/>
              </w:rPr>
              <w:t xml:space="preserve">沙子  </w:t>
            </w:r>
            <w:r>
              <w:rPr>
                <w:highlight w:val="none"/>
              </w:rPr>
              <w:sym w:font="Wingdings" w:char="00FE"/>
            </w:r>
            <w:r>
              <w:rPr>
                <w:highlight w:val="none"/>
              </w:rPr>
              <w:t>其他异物</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both"/>
                    <w:rPr>
                      <w:rFonts w:hint="default" w:eastAsia="宋体"/>
                      <w:bCs/>
                      <w:sz w:val="18"/>
                      <w:szCs w:val="18"/>
                      <w:lang w:val="en-US" w:eastAsia="zh-CN"/>
                    </w:rPr>
                  </w:pPr>
                  <w:r>
                    <w:rPr>
                      <w:rFonts w:hint="default" w:eastAsia="宋体"/>
                      <w:bCs/>
                      <w:sz w:val="18"/>
                      <w:szCs w:val="18"/>
                      <w:lang w:val="en-US" w:eastAsia="zh-CN"/>
                    </w:rPr>
                    <w:t>香辛料类（八角、桂皮、小茴香、香叶、草果、白芷、孜然粒、白胡椒等）、</w:t>
                  </w:r>
                </w:p>
                <w:p>
                  <w:pPr>
                    <w:autoSpaceDE w:val="0"/>
                    <w:autoSpaceDN w:val="0"/>
                    <w:adjustRightInd w:val="0"/>
                    <w:jc w:val="both"/>
                    <w:rPr>
                      <w:rFonts w:hint="default" w:eastAsia="宋体"/>
                      <w:bCs/>
                      <w:sz w:val="18"/>
                      <w:szCs w:val="18"/>
                      <w:lang w:val="en-US" w:eastAsia="zh-CN"/>
                    </w:rPr>
                  </w:pPr>
                  <w:r>
                    <w:rPr>
                      <w:rFonts w:hint="default" w:eastAsia="宋体"/>
                      <w:bCs/>
                      <w:sz w:val="18"/>
                      <w:szCs w:val="18"/>
                      <w:lang w:val="en-US" w:eastAsia="zh-CN"/>
                    </w:rPr>
                    <w:t>香辛料类（花椒、红花椒、大红袍花椒、红辣椒、小米椒、野山椒、线椒等）</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A8"/>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FE"/>
                  </w:r>
                  <w:r>
                    <w:rPr>
                      <w:bCs/>
                      <w:sz w:val="18"/>
                      <w:szCs w:val="18"/>
                    </w:rPr>
                    <w:t>企业自行检测</w:t>
                  </w:r>
                </w:p>
                <w:p>
                  <w:pPr>
                    <w:autoSpaceDE w:val="0"/>
                    <w:autoSpaceDN w:val="0"/>
                    <w:adjustRightInd w:val="0"/>
                    <w:jc w:val="center"/>
                    <w:rPr>
                      <w:rFonts w:hint="eastAsia" w:eastAsia="宋体"/>
                      <w:bCs/>
                      <w:sz w:val="18"/>
                      <w:szCs w:val="18"/>
                      <w:lang w:eastAsia="zh-CN"/>
                    </w:rPr>
                  </w:pPr>
                  <w:r>
                    <w:rPr>
                      <w:bCs/>
                      <w:sz w:val="18"/>
                      <w:szCs w:val="18"/>
                    </w:rPr>
                    <w:sym w:font="Wingdings" w:char="00FE"/>
                  </w:r>
                  <w:r>
                    <w:rPr>
                      <w:bCs/>
                      <w:sz w:val="18"/>
                      <w:szCs w:val="18"/>
                    </w:rPr>
                    <w:t>第三方检测报告</w:t>
                  </w:r>
                  <w:r>
                    <w:rPr>
                      <w:rFonts w:hint="eastAsia"/>
                      <w:bCs/>
                      <w:sz w:val="18"/>
                      <w:szCs w:val="18"/>
                      <w:lang w:eastAsia="zh-CN"/>
                    </w:rPr>
                    <w:t>（</w:t>
                  </w:r>
                  <w:r>
                    <w:rPr>
                      <w:rFonts w:hint="eastAsia"/>
                      <w:bCs/>
                      <w:sz w:val="18"/>
                      <w:szCs w:val="18"/>
                      <w:lang w:val="en-US" w:eastAsia="zh-CN"/>
                    </w:rPr>
                    <w:t>重金属送检第三方</w:t>
                  </w:r>
                  <w:r>
                    <w:rPr>
                      <w:rFonts w:hint="eastAsia"/>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水</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ind w:firstLine="540" w:firstLineChars="30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A8"/>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FE"/>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both"/>
                    <w:rPr>
                      <w:rFonts w:hint="default" w:eastAsia="宋体"/>
                      <w:bCs/>
                      <w:sz w:val="18"/>
                      <w:szCs w:val="18"/>
                      <w:lang w:val="en-US" w:eastAsia="zh-CN"/>
                    </w:rPr>
                  </w:pPr>
                  <w:r>
                    <w:rPr>
                      <w:rFonts w:hint="default" w:eastAsia="宋体"/>
                      <w:bCs/>
                      <w:sz w:val="18"/>
                      <w:szCs w:val="18"/>
                      <w:lang w:val="en-US" w:eastAsia="zh-CN"/>
                    </w:rPr>
                    <w:t>食品用多层复合袋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pPr>
              <w:rPr>
                <w:bCs/>
              </w:rPr>
            </w:pPr>
          </w:p>
          <w:p>
            <w:pPr>
              <w:tabs>
                <w:tab w:val="right" w:pos="3119"/>
              </w:tabs>
              <w:rPr>
                <w:b/>
              </w:rPr>
            </w:pPr>
            <w:r>
              <w:rPr>
                <w:b/>
              </w:rPr>
              <w:t>最终产品危害分析：</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autoSpaceDE w:val="0"/>
                    <w:autoSpaceDN w:val="0"/>
                    <w:adjustRightInd w:val="0"/>
                    <w:jc w:val="both"/>
                    <w:rPr>
                      <w:rFonts w:hint="default" w:eastAsia="宋体"/>
                      <w:bCs/>
                      <w:sz w:val="18"/>
                      <w:szCs w:val="18"/>
                      <w:lang w:val="en-US" w:eastAsia="zh-CN"/>
                    </w:rPr>
                  </w:pPr>
                  <w:r>
                    <w:rPr>
                      <w:rFonts w:hint="default" w:eastAsia="宋体"/>
                      <w:bCs/>
                      <w:sz w:val="18"/>
                      <w:szCs w:val="18"/>
                      <w:lang w:val="en-US" w:eastAsia="zh-CN"/>
                    </w:rPr>
                    <w:t>香辛料类（八角、桂皮、小茴香、香叶、草果、白芷、孜然粒、白胡椒等）、</w:t>
                  </w:r>
                </w:p>
                <w:p>
                  <w:pPr>
                    <w:jc w:val="center"/>
                    <w:rPr>
                      <w:rFonts w:hint="default" w:eastAsia="宋体"/>
                      <w:bCs/>
                      <w:lang w:val="en-US" w:eastAsia="zh-CN"/>
                    </w:rPr>
                  </w:pPr>
                  <w:r>
                    <w:rPr>
                      <w:rFonts w:hint="default" w:eastAsia="宋体"/>
                      <w:bCs/>
                      <w:sz w:val="18"/>
                      <w:szCs w:val="18"/>
                      <w:lang w:val="en-US" w:eastAsia="zh-CN"/>
                    </w:rPr>
                    <w:t>香辛料类（花椒、红花椒、大红袍花椒、红辣椒、小米椒、野山椒、线椒等）</w:t>
                  </w:r>
                </w:p>
              </w:tc>
              <w:tc>
                <w:tcPr>
                  <w:tcW w:w="2873" w:type="dxa"/>
                  <w:shd w:val="clear" w:color="auto" w:fill="auto"/>
                  <w:vAlign w:val="center"/>
                </w:tcPr>
                <w:p>
                  <w:pPr>
                    <w:jc w:val="center"/>
                    <w:rPr>
                      <w:bCs/>
                      <w:lang w:val="en-GB"/>
                    </w:rPr>
                  </w:pPr>
                  <w:r>
                    <w:rPr/>
                    <w:sym w:font="Wingdings" w:char="00A8"/>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default" w:eastAsia="宋体"/>
                      <w:bCs/>
                      <w:sz w:val="18"/>
                      <w:szCs w:val="18"/>
                      <w:lang w:val="en-US" w:eastAsia="zh-CN"/>
                    </w:rPr>
                  </w:pPr>
                  <w:r>
                    <w:rPr>
                      <w:rFonts w:hint="default" w:eastAsia="宋体"/>
                      <w:bCs/>
                      <w:sz w:val="18"/>
                      <w:szCs w:val="18"/>
                      <w:lang w:val="en-US" w:eastAsia="zh-CN"/>
                    </w:rPr>
                    <w:t>香辛料</w:t>
                  </w:r>
                  <w:r>
                    <w:rPr>
                      <w:rFonts w:hint="eastAsia" w:eastAsia="宋体"/>
                      <w:bCs/>
                      <w:sz w:val="18"/>
                      <w:szCs w:val="18"/>
                      <w:lang w:val="en-US" w:eastAsia="zh-CN"/>
                    </w:rPr>
                    <w:t>粉</w:t>
                  </w:r>
                  <w:r>
                    <w:rPr>
                      <w:rFonts w:hint="default" w:eastAsia="宋体"/>
                      <w:bCs/>
                      <w:sz w:val="18"/>
                      <w:szCs w:val="18"/>
                      <w:lang w:val="en-US" w:eastAsia="zh-CN"/>
                    </w:rPr>
                    <w:t>类（花椒</w:t>
                  </w:r>
                  <w:r>
                    <w:rPr>
                      <w:rFonts w:hint="eastAsia" w:eastAsia="宋体"/>
                      <w:bCs/>
                      <w:sz w:val="18"/>
                      <w:szCs w:val="18"/>
                      <w:lang w:val="en-US" w:eastAsia="zh-CN"/>
                    </w:rPr>
                    <w:t>粉</w:t>
                  </w:r>
                  <w:r>
                    <w:rPr>
                      <w:rFonts w:hint="default" w:eastAsia="宋体"/>
                      <w:bCs/>
                      <w:sz w:val="18"/>
                      <w:szCs w:val="18"/>
                      <w:lang w:val="en-US" w:eastAsia="zh-CN"/>
                    </w:rPr>
                    <w:t>、红花椒</w:t>
                  </w:r>
                  <w:r>
                    <w:rPr>
                      <w:rFonts w:hint="eastAsia" w:eastAsia="宋体"/>
                      <w:bCs/>
                      <w:sz w:val="18"/>
                      <w:szCs w:val="18"/>
                      <w:lang w:val="en-US" w:eastAsia="zh-CN"/>
                    </w:rPr>
                    <w:t>粉</w:t>
                  </w:r>
                  <w:r>
                    <w:rPr>
                      <w:rFonts w:hint="default" w:eastAsia="宋体"/>
                      <w:bCs/>
                      <w:sz w:val="18"/>
                      <w:szCs w:val="18"/>
                      <w:lang w:val="en-US" w:eastAsia="zh-CN"/>
                    </w:rPr>
                    <w:t>、大红袍花椒</w:t>
                  </w:r>
                  <w:r>
                    <w:rPr>
                      <w:rFonts w:hint="eastAsia" w:eastAsia="宋体"/>
                      <w:bCs/>
                      <w:sz w:val="18"/>
                      <w:szCs w:val="18"/>
                      <w:lang w:val="en-US" w:eastAsia="zh-CN"/>
                    </w:rPr>
                    <w:t>粉</w:t>
                  </w:r>
                  <w:r>
                    <w:rPr>
                      <w:rFonts w:hint="default" w:eastAsia="宋体"/>
                      <w:bCs/>
                      <w:sz w:val="18"/>
                      <w:szCs w:val="18"/>
                      <w:lang w:val="en-US" w:eastAsia="zh-CN"/>
                    </w:rPr>
                    <w:t>、红辣椒</w:t>
                  </w:r>
                  <w:r>
                    <w:rPr>
                      <w:rFonts w:hint="eastAsia" w:eastAsia="宋体"/>
                      <w:bCs/>
                      <w:sz w:val="18"/>
                      <w:szCs w:val="18"/>
                      <w:lang w:val="en-US" w:eastAsia="zh-CN"/>
                    </w:rPr>
                    <w:t>粉、白胡椒粉、五香粉</w:t>
                  </w:r>
                  <w:r>
                    <w:rPr>
                      <w:rFonts w:hint="default" w:eastAsia="宋体"/>
                      <w:bCs/>
                      <w:sz w:val="18"/>
                      <w:szCs w:val="18"/>
                      <w:lang w:val="en-US" w:eastAsia="zh-CN"/>
                    </w:rPr>
                    <w:t>等）</w:t>
                  </w:r>
                </w:p>
              </w:tc>
              <w:tc>
                <w:tcPr>
                  <w:tcW w:w="2873" w:type="dxa"/>
                  <w:shd w:val="clear" w:color="auto" w:fill="auto"/>
                  <w:vAlign w:val="center"/>
                </w:tcPr>
                <w:p>
                  <w:pPr>
                    <w:jc w:val="center"/>
                    <w:rPr>
                      <w:bCs/>
                      <w:lang w:val="en-GB"/>
                    </w:rPr>
                  </w:pPr>
                  <w:r>
                    <w:rPr/>
                    <w:sym w:font="Wingdings" w:char="00A8"/>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rFonts w:ascii="Times New Roman" w:hAnsi="Times New Roman" w:eastAsia="宋体" w:cs="Times New Roman"/>
                      <w:bCs/>
                      <w:kern w:val="2"/>
                      <w:sz w:val="21"/>
                      <w:lang w:val="en-GB" w:eastAsia="zh-CN" w:bidi="ar-SA"/>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CCPs</w:t>
                  </w:r>
                </w:p>
                <w:p>
                  <w:pPr>
                    <w:jc w:val="center"/>
                    <w:rPr>
                      <w:bCs/>
                    </w:rPr>
                  </w:pPr>
                  <w:r>
                    <w:rPr/>
                    <w:sym w:font="Wingdings" w:char="00FE"/>
                  </w:r>
                  <w:r>
                    <w:rPr>
                      <w:bCs/>
                    </w:rPr>
                    <w:t>作业指导书&amp;SSOP</w:t>
                  </w:r>
                </w:p>
                <w:p>
                  <w:pPr>
                    <w:jc w:val="center"/>
                    <w:rPr>
                      <w:rFonts w:ascii="Times New Roman" w:hAnsi="Times New Roman" w:eastAsia="宋体" w:cs="Times New Roman"/>
                      <w:bCs/>
                      <w:kern w:val="2"/>
                      <w:sz w:val="21"/>
                      <w:lang w:val="en-GB" w:eastAsia="zh-CN" w:bidi="ar-SA"/>
                    </w:rPr>
                  </w:pPr>
                  <w:r>
                    <w:rPr>
                      <w:bCs/>
                    </w:rPr>
                    <w:sym w:font="Wingdings" w:char="00A8"/>
                  </w:r>
                  <w:r>
                    <w:rPr>
                      <w:bCs/>
                    </w:rPr>
                    <w:t>OPRP &amp;CCPs</w:t>
                  </w:r>
                </w:p>
              </w:tc>
            </w:tr>
          </w:tbl>
          <w:p/>
          <w:p>
            <w:pPr>
              <w:rPr>
                <w:rFonts w:hint="default"/>
                <w:lang w:val="en-US" w:eastAsia="zh-CN"/>
              </w:rPr>
            </w:pPr>
            <w:r>
              <w:rPr>
                <w:rFonts w:hint="eastAsia"/>
                <w:lang w:val="en-US" w:eastAsia="zh-CN"/>
              </w:rPr>
              <w:t>经现场沟通，组织的产品主要为香辛料类、香辛料粉类，其中香辛料粉类以花椒粉为主；</w:t>
            </w:r>
          </w:p>
          <w:p>
            <w:pPr>
              <w:rPr>
                <w:rFonts w:hint="eastAsia" w:ascii="宋体" w:hAnsi="宋体"/>
                <w:lang w:val="en-US" w:eastAsia="zh-CN"/>
              </w:rPr>
            </w:pPr>
          </w:p>
          <w:p>
            <w:r>
              <w:t>出现、引入的危害：</w:t>
            </w:r>
          </w:p>
          <w:p>
            <w:r>
              <w:rPr/>
              <w:sym w:font="Wingdings" w:char="00FE"/>
            </w:r>
            <w:r>
              <w:t xml:space="preserve">原材料 </w:t>
            </w:r>
            <w:r>
              <w:rPr/>
              <w:sym w:font="Wingdings" w:char="00A8"/>
            </w:r>
            <w:r>
              <w:t xml:space="preserve">加工助剂 </w:t>
            </w:r>
            <w:r>
              <w:rPr/>
              <w:sym w:font="Wingdings" w:char="00A8"/>
            </w:r>
            <w:r>
              <w:t xml:space="preserve">食品添加剂 </w:t>
            </w:r>
            <w:r>
              <w:rPr/>
              <w:sym w:font="Wingdings" w:char="00FE"/>
            </w:r>
            <w:r>
              <w:t xml:space="preserve">加工用水/冰/蒸汽 </w:t>
            </w:r>
            <w:r>
              <w:rPr/>
              <w:sym w:font="Wingdings" w:char="00FE"/>
            </w:r>
            <w:r>
              <w:t xml:space="preserve">接触面  </w:t>
            </w:r>
            <w:r>
              <w:rPr/>
              <w:sym w:font="Wingdings" w:char="00A8"/>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lang w:val="en-US" w:eastAsia="zh-CN"/>
              </w:rPr>
              <w:t>温度控制不当，导致水分超标、产品霉变</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rFonts w:hint="eastAsia"/>
                <w:u w:val="single"/>
                <w:lang w:val="en-US" w:eastAsia="zh-CN"/>
              </w:rPr>
              <w:t>温度控制不当，导致产品霉变</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A8"/>
            </w:r>
            <w:r>
              <w:t>运输过程：</w:t>
            </w:r>
            <w:r>
              <w:rPr>
                <w:u w:val="single"/>
              </w:rPr>
              <w:t xml:space="preserve">   </w:t>
            </w:r>
            <w:r>
              <w:rPr>
                <w:rFonts w:hint="eastAsia"/>
                <w:u w:val="single"/>
                <w:lang w:val="en-US" w:eastAsia="zh-CN"/>
              </w:rPr>
              <w:t xml:space="preserve">           </w:t>
            </w:r>
            <w:r>
              <w:rPr>
                <w:u w:val="single"/>
              </w:rPr>
              <w:t xml:space="preserve">   </w:t>
            </w:r>
          </w:p>
          <w:p>
            <w:pPr>
              <w:pStyle w:val="11"/>
              <w:ind w:left="0" w:firstLine="0" w:firstLineChars="0"/>
              <w:rPr>
                <w:rFonts w:ascii="Times New Roman" w:hAnsi="Times New Roman"/>
              </w:rPr>
            </w:pPr>
          </w:p>
          <w:p>
            <w:pPr>
              <w:rPr>
                <w:color w:val="FF0000"/>
              </w:rPr>
            </w:pPr>
            <w:r>
              <w:t>组织确定了所识别最终产品的每种食品安全危害的可接受水平。</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both"/>
                    <w:rPr>
                      <w:rFonts w:hint="default" w:eastAsia="宋体"/>
                      <w:bCs/>
                      <w:szCs w:val="21"/>
                      <w:lang w:val="en-US" w:eastAsia="zh-CN"/>
                    </w:rPr>
                  </w:pPr>
                  <w:r>
                    <w:rPr>
                      <w:rFonts w:hint="eastAsia"/>
                      <w:bCs/>
                      <w:szCs w:val="21"/>
                      <w:lang w:val="en-US" w:eastAsia="zh-CN"/>
                    </w:rPr>
                    <w:t>香辛料、香辛料粉</w:t>
                  </w:r>
                </w:p>
              </w:tc>
              <w:tc>
                <w:tcPr>
                  <w:tcW w:w="4263" w:type="dxa"/>
                  <w:shd w:val="clear" w:color="auto" w:fill="auto"/>
                  <w:vAlign w:val="center"/>
                </w:tcPr>
                <w:p>
                  <w:pPr>
                    <w:rPr>
                      <w:rFonts w:hint="default" w:eastAsia="宋体"/>
                      <w:bCs/>
                      <w:szCs w:val="21"/>
                      <w:lang w:val="en-US" w:eastAsia="zh-CN"/>
                    </w:rPr>
                  </w:pPr>
                  <w:r>
                    <w:rPr>
                      <w:rFonts w:hint="eastAsia"/>
                      <w:bCs/>
                      <w:szCs w:val="21"/>
                      <w:lang w:val="en-US" w:eastAsia="zh-CN"/>
                    </w:rPr>
                    <w:t>按照</w:t>
                  </w:r>
                  <w:r>
                    <w:rPr>
                      <w:rFonts w:hint="eastAsia" w:ascii="Verdana" w:hAnsi="Verdana" w:eastAsia="宋体" w:cs="Verdana"/>
                      <w:i w:val="0"/>
                      <w:iCs w:val="0"/>
                      <w:caps w:val="0"/>
                      <w:color w:val="333333"/>
                      <w:spacing w:val="0"/>
                      <w:sz w:val="20"/>
                      <w:szCs w:val="20"/>
                      <w:shd w:val="clear" w:fill="FFFFFF"/>
                      <w:lang w:eastAsia="zh-CN"/>
                    </w:rPr>
                    <w:t xml:space="preserve"> </w:t>
                  </w:r>
                  <w:r>
                    <w:rPr>
                      <w:rFonts w:hint="eastAsia" w:ascii="宋体" w:hAnsi="宋体"/>
                      <w:sz w:val="24"/>
                    </w:rPr>
                    <w:t>Q/ALYT0001S-2021</w:t>
                  </w:r>
                  <w:r>
                    <w:rPr>
                      <w:rFonts w:hint="eastAsia" w:ascii="Verdana" w:hAnsi="Verdana" w:eastAsia="宋体" w:cs="Verdana"/>
                      <w:i w:val="0"/>
                      <w:iCs w:val="0"/>
                      <w:caps w:val="0"/>
                      <w:color w:val="333333"/>
                      <w:spacing w:val="0"/>
                      <w:sz w:val="20"/>
                      <w:szCs w:val="20"/>
                      <w:shd w:val="clear" w:fill="FFFFFF"/>
                      <w:lang w:val="en-US" w:eastAsia="zh-CN"/>
                    </w:rPr>
                    <w:t xml:space="preserve"> </w:t>
                  </w:r>
                  <w:r>
                    <w:rPr>
                      <w:rFonts w:hint="eastAsia"/>
                      <w:bCs/>
                      <w:szCs w:val="21"/>
                    </w:rPr>
                    <w:t>执行</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A8"/>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2" w:type="dxa"/>
                  <w:shd w:val="clear" w:color="auto" w:fill="auto"/>
                  <w:vAlign w:val="center"/>
                </w:tcPr>
                <w:p>
                  <w:pPr>
                    <w:jc w:val="center"/>
                    <w:rPr>
                      <w:rFonts w:hint="eastAsia" w:eastAsia="宋体"/>
                      <w:bCs/>
                      <w:szCs w:val="21"/>
                      <w:lang w:val="en-GB" w:eastAsia="zh-CN"/>
                    </w:rPr>
                  </w:pPr>
                </w:p>
              </w:tc>
              <w:tc>
                <w:tcPr>
                  <w:tcW w:w="4263" w:type="dxa"/>
                  <w:shd w:val="clear" w:color="auto" w:fill="auto"/>
                  <w:vAlign w:val="center"/>
                </w:tcPr>
                <w:p>
                  <w:pPr>
                    <w:rPr>
                      <w:bCs/>
                      <w:szCs w:val="21"/>
                    </w:rPr>
                  </w:pPr>
                </w:p>
              </w:tc>
              <w:tc>
                <w:tcPr>
                  <w:tcW w:w="2266" w:type="dxa"/>
                  <w:shd w:val="clear" w:color="auto" w:fill="auto"/>
                  <w:vAlign w:val="bottom"/>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02" w:type="dxa"/>
                  <w:shd w:val="clear" w:color="auto" w:fill="auto"/>
                  <w:vAlign w:val="center"/>
                </w:tcPr>
                <w:p>
                  <w:pPr>
                    <w:jc w:val="left"/>
                    <w:rPr>
                      <w:bCs/>
                    </w:rPr>
                  </w:pPr>
                </w:p>
              </w:tc>
              <w:tc>
                <w:tcPr>
                  <w:tcW w:w="4263" w:type="dxa"/>
                  <w:shd w:val="clear" w:color="auto" w:fill="auto"/>
                  <w:vAlign w:val="bottom"/>
                </w:tcPr>
                <w:p>
                  <w:pPr>
                    <w:rPr>
                      <w:bCs/>
                    </w:rPr>
                  </w:pPr>
                </w:p>
              </w:tc>
              <w:tc>
                <w:tcPr>
                  <w:tcW w:w="2266" w:type="dxa"/>
                  <w:shd w:val="clear" w:color="auto" w:fill="auto"/>
                  <w:vAlign w:val="bottom"/>
                </w:tcPr>
                <w:p>
                  <w:pPr>
                    <w:rPr>
                      <w:bCs/>
                      <w:szCs w:val="21"/>
                    </w:rPr>
                  </w:pPr>
                </w:p>
              </w:tc>
            </w:tr>
          </w:tbl>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FE"/>
            </w:r>
            <w:r>
              <w:t xml:space="preserve">CCPs  </w:t>
            </w:r>
            <w:r>
              <w:rPr>
                <w:bCs/>
              </w:rPr>
              <w:sym w:font="Wingdings" w:char="00FE"/>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r>
              <w:rPr/>
              <w:sym w:font="Wingdings" w:char="00FE"/>
            </w:r>
            <w:r>
              <w:t>已收集相关法规</w:t>
            </w:r>
          </w:p>
          <w:p>
            <w:r>
              <w:rPr/>
              <w:sym w:font="Wingdings" w:char="00A8"/>
            </w:r>
            <w:r>
              <w:t>未收集相关法规</w:t>
            </w:r>
          </w:p>
          <w:p>
            <w:r>
              <w:rPr/>
              <w:sym w:font="Wingdings" w:char="00A8"/>
            </w:r>
            <w:r>
              <w:t>收集相关法规不全面，说明：</w:t>
            </w:r>
            <w:r>
              <w:rPr>
                <w:u w:val="single"/>
              </w:rPr>
              <w:t xml:space="preserve">                  </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40" w:hRule="atLeast"/>
        </w:trPr>
        <w:tc>
          <w:tcPr>
            <w:tcW w:w="2174" w:type="dxa"/>
            <w:vMerge w:val="restart"/>
            <w:shd w:val="clear" w:color="auto" w:fill="auto"/>
          </w:tcPr>
          <w:p>
            <w:r>
              <w:t>控制措施组合的确认</w:t>
            </w:r>
          </w:p>
        </w:tc>
        <w:tc>
          <w:tcPr>
            <w:tcW w:w="936" w:type="dxa"/>
            <w:gridSpan w:val="2"/>
            <w:vMerge w:val="restart"/>
            <w:shd w:val="clear" w:color="auto" w:fill="auto"/>
          </w:tcPr>
          <w:p>
            <w:r>
              <w:t>F8.5.3</w:t>
            </w:r>
          </w:p>
        </w:tc>
        <w:tc>
          <w:tcPr>
            <w:tcW w:w="745" w:type="dxa"/>
            <w:shd w:val="clear" w:color="auto" w:fill="auto"/>
          </w:tcPr>
          <w:p>
            <w:pPr>
              <w:rPr>
                <w:rFonts w:hint="eastAsia" w:eastAsia="宋体"/>
                <w:lang w:val="en-US" w:eastAsia="zh-CN"/>
              </w:rPr>
            </w:pPr>
            <w:r>
              <w:rPr>
                <w:rFonts w:hint="eastAsia"/>
                <w:lang w:val="en-US" w:eastAsia="zh-CN"/>
              </w:rPr>
              <w:t>文件证据</w:t>
            </w:r>
          </w:p>
        </w:tc>
        <w:tc>
          <w:tcPr>
            <w:tcW w:w="952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p>
        </w:tc>
        <w:tc>
          <w:tcPr>
            <w:tcW w:w="1290" w:type="dxa"/>
            <w:vMerge w:val="restart"/>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402"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52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color w:val="000000" w:themeColor="text1"/>
                <w:u w:val="single"/>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有《PRP现场验证记录》，2021年</w:t>
            </w:r>
            <w:r>
              <w:rPr>
                <w:rFonts w:hint="eastAsia" w:ascii="宋体" w:hAnsi="宋体"/>
                <w:b/>
                <w:bCs/>
                <w:szCs w:val="21"/>
                <w:u w:val="single"/>
                <w:lang w:val="en-US" w:eastAsia="zh-CN"/>
              </w:rPr>
              <w:t>1</w:t>
            </w:r>
            <w:r>
              <w:rPr>
                <w:rFonts w:hint="eastAsia" w:ascii="宋体" w:hAnsi="宋体"/>
                <w:b/>
                <w:bCs/>
                <w:szCs w:val="21"/>
                <w:u w:val="single"/>
              </w:rPr>
              <w:t>月</w:t>
            </w:r>
            <w:r>
              <w:rPr>
                <w:rFonts w:hint="eastAsia" w:ascii="宋体" w:hAnsi="宋体"/>
                <w:b/>
                <w:bCs/>
                <w:szCs w:val="21"/>
                <w:u w:val="single"/>
                <w:lang w:val="en-US" w:eastAsia="zh-CN"/>
              </w:rPr>
              <w:t>4</w:t>
            </w:r>
            <w:r>
              <w:rPr>
                <w:rFonts w:hint="eastAsia" w:ascii="宋体" w:hAnsi="宋体"/>
                <w:b/>
                <w:bCs/>
                <w:szCs w:val="21"/>
                <w:u w:val="single"/>
              </w:rPr>
              <w:t>日，结论：控制有效</w:t>
            </w:r>
          </w:p>
          <w:p>
            <w:pPr>
              <w:adjustRightInd w:val="0"/>
              <w:snapToGrid w:val="0"/>
              <w:spacing w:line="240" w:lineRule="atLeast"/>
              <w:ind w:firstLine="422" w:firstLineChars="200"/>
              <w:rPr>
                <w:rFonts w:ascii="宋体" w:hAnsi="宋体"/>
                <w:b/>
                <w:bCs/>
                <w:szCs w:val="21"/>
                <w:u w:val="single"/>
              </w:rPr>
            </w:pPr>
            <w:r>
              <w:rPr>
                <w:rFonts w:hint="eastAsia" w:ascii="宋体" w:hAnsi="宋体"/>
                <w:b/>
                <w:bCs/>
                <w:szCs w:val="21"/>
                <w:u w:val="single"/>
              </w:rPr>
              <w:t>《OPRP确认记录表》，2021年</w:t>
            </w:r>
            <w:r>
              <w:rPr>
                <w:rFonts w:hint="eastAsia" w:ascii="宋体" w:hAnsi="宋体"/>
                <w:b/>
                <w:bCs/>
                <w:szCs w:val="21"/>
                <w:u w:val="single"/>
                <w:lang w:val="en-US" w:eastAsia="zh-CN"/>
              </w:rPr>
              <w:t>1</w:t>
            </w:r>
            <w:r>
              <w:rPr>
                <w:rFonts w:hint="eastAsia" w:ascii="宋体" w:hAnsi="宋体"/>
                <w:b/>
                <w:bCs/>
                <w:szCs w:val="21"/>
                <w:u w:val="single"/>
              </w:rPr>
              <w:t>月</w:t>
            </w:r>
            <w:r>
              <w:rPr>
                <w:rFonts w:hint="eastAsia" w:ascii="宋体" w:hAnsi="宋体"/>
                <w:b/>
                <w:bCs/>
                <w:szCs w:val="21"/>
                <w:u w:val="single"/>
                <w:lang w:val="en-US" w:eastAsia="zh-CN"/>
              </w:rPr>
              <w:t>20</w:t>
            </w:r>
            <w:r>
              <w:rPr>
                <w:rFonts w:hint="eastAsia" w:ascii="宋体" w:hAnsi="宋体"/>
                <w:b/>
                <w:bCs/>
                <w:szCs w:val="21"/>
                <w:u w:val="single"/>
              </w:rPr>
              <w:t>日，结论：控制有效</w:t>
            </w:r>
          </w:p>
          <w:p>
            <w:pPr>
              <w:adjustRightInd w:val="0"/>
              <w:snapToGrid w:val="0"/>
              <w:spacing w:line="240" w:lineRule="atLeast"/>
              <w:ind w:firstLine="422" w:firstLineChars="200"/>
              <w:rPr>
                <w:rFonts w:ascii="宋体" w:hAnsi="宋体"/>
                <w:b/>
                <w:bCs/>
                <w:szCs w:val="21"/>
                <w:u w:val="single"/>
              </w:rPr>
            </w:pPr>
            <w:r>
              <w:rPr>
                <w:rFonts w:hint="eastAsia" w:ascii="宋体" w:hAnsi="宋体"/>
                <w:b/>
                <w:bCs/>
                <w:szCs w:val="21"/>
                <w:u w:val="single"/>
              </w:rPr>
              <w:t>《</w:t>
            </w:r>
            <w:r>
              <w:rPr>
                <w:rFonts w:hint="eastAsia" w:ascii="宋体" w:hAnsi="宋体"/>
                <w:b/>
                <w:bCs/>
                <w:szCs w:val="21"/>
                <w:u w:val="single"/>
                <w:lang w:val="en-US" w:eastAsia="zh-CN"/>
              </w:rPr>
              <w:t>危害控制</w:t>
            </w:r>
            <w:r>
              <w:rPr>
                <w:rFonts w:hint="eastAsia" w:ascii="宋体" w:hAnsi="宋体"/>
                <w:b/>
                <w:bCs/>
                <w:szCs w:val="21"/>
                <w:u w:val="single"/>
              </w:rPr>
              <w:t>计划确认记录表》，2021年</w:t>
            </w:r>
            <w:r>
              <w:rPr>
                <w:rFonts w:hint="eastAsia" w:ascii="宋体" w:hAnsi="宋体"/>
                <w:b/>
                <w:bCs/>
                <w:szCs w:val="21"/>
                <w:u w:val="single"/>
                <w:lang w:val="en-US" w:eastAsia="zh-CN"/>
              </w:rPr>
              <w:t>1</w:t>
            </w:r>
            <w:r>
              <w:rPr>
                <w:rFonts w:hint="eastAsia" w:ascii="宋体" w:hAnsi="宋体"/>
                <w:b/>
                <w:bCs/>
                <w:szCs w:val="21"/>
                <w:u w:val="single"/>
              </w:rPr>
              <w:t>月</w:t>
            </w:r>
            <w:r>
              <w:rPr>
                <w:rFonts w:hint="eastAsia" w:ascii="宋体" w:hAnsi="宋体"/>
                <w:b/>
                <w:bCs/>
                <w:szCs w:val="21"/>
                <w:u w:val="single"/>
                <w:lang w:val="en-US" w:eastAsia="zh-CN"/>
              </w:rPr>
              <w:t>20</w:t>
            </w:r>
            <w:r>
              <w:rPr>
                <w:rFonts w:hint="eastAsia" w:ascii="宋体" w:hAnsi="宋体"/>
                <w:b/>
                <w:bCs/>
                <w:szCs w:val="21"/>
                <w:u w:val="single"/>
              </w:rPr>
              <w:t>日，结论：控制有效</w:t>
            </w:r>
          </w:p>
          <w:p>
            <w:pPr>
              <w:pStyle w:val="11"/>
              <w:ind w:left="0" w:firstLine="0" w:firstLineChars="0"/>
              <w:rPr>
                <w:color w:val="FF0000"/>
                <w:highlight w:val="yellow"/>
                <w:u w:val="single"/>
              </w:rPr>
            </w:pP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580"/>
              <w:gridCol w:w="940"/>
              <w:gridCol w:w="1889"/>
              <w:gridCol w:w="127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日期</w:t>
                  </w:r>
                </w:p>
              </w:tc>
              <w:tc>
                <w:tcPr>
                  <w:tcW w:w="1580" w:type="dxa"/>
                </w:tcPr>
                <w:p>
                  <w:pP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样品名称/批次</w:t>
                  </w:r>
                </w:p>
              </w:tc>
              <w:tc>
                <w:tcPr>
                  <w:tcW w:w="940"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送检方式</w:t>
                  </w:r>
                </w:p>
              </w:tc>
              <w:tc>
                <w:tcPr>
                  <w:tcW w:w="1889" w:type="dxa"/>
                </w:tcPr>
                <w:p>
                  <w:pPr>
                    <w:rPr>
                      <w:color w:val="000000" w:themeColor="text1"/>
                      <w:sz w:val="18"/>
                      <w:szCs w:val="18"/>
                      <w:highlight w:val="none"/>
                      <w14:textFill>
                        <w14:solidFill>
                          <w14:schemeClr w14:val="tx1"/>
                        </w14:solidFill>
                      </w14:textFill>
                    </w:rPr>
                  </w:pPr>
                  <w:r>
                    <w:rPr>
                      <w:b/>
                      <w:bCs/>
                      <w:color w:val="000000" w:themeColor="text1"/>
                      <w:sz w:val="18"/>
                      <w:szCs w:val="18"/>
                      <w:highlight w:val="none"/>
                      <w14:textFill>
                        <w14:solidFill>
                          <w14:schemeClr w14:val="tx1"/>
                        </w14:solidFill>
                      </w14:textFill>
                    </w:rPr>
                    <w:t>报告编号</w:t>
                  </w:r>
                </w:p>
              </w:tc>
              <w:tc>
                <w:tcPr>
                  <w:tcW w:w="1276"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报告日期</w:t>
                  </w:r>
                </w:p>
              </w:tc>
              <w:tc>
                <w:tcPr>
                  <w:tcW w:w="1585"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tcPr>
                <w:p>
                  <w:pPr>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highlight w:val="none"/>
                      <w:u w:val="none"/>
                      <w14:textFill>
                        <w14:solidFill>
                          <w14:schemeClr w14:val="tx1"/>
                        </w14:solidFill>
                      </w14:textFill>
                    </w:rPr>
                    <w:t>20</w:t>
                  </w:r>
                  <w:r>
                    <w:rPr>
                      <w:color w:val="000000" w:themeColor="text1"/>
                      <w:highlight w:val="none"/>
                      <w:u w:val="none"/>
                      <w14:textFill>
                        <w14:solidFill>
                          <w14:schemeClr w14:val="tx1"/>
                        </w14:solidFill>
                      </w14:textFill>
                    </w:rPr>
                    <w:t>2</w:t>
                  </w:r>
                  <w:r>
                    <w:rPr>
                      <w:rFonts w:hint="eastAsia"/>
                      <w:color w:val="000000" w:themeColor="text1"/>
                      <w:highlight w:val="none"/>
                      <w:u w:val="none"/>
                      <w:lang w:val="en-US" w:eastAsia="zh-CN"/>
                      <w14:textFill>
                        <w14:solidFill>
                          <w14:schemeClr w14:val="tx1"/>
                        </w14:solidFill>
                      </w14:textFill>
                    </w:rPr>
                    <w:t>1-04-06</w:t>
                  </w:r>
                  <w:r>
                    <w:rPr>
                      <w:rFonts w:hint="eastAsia"/>
                      <w:color w:val="000000" w:themeColor="text1"/>
                      <w:highlight w:val="none"/>
                      <w:u w:val="none"/>
                      <w14:textFill>
                        <w14:solidFill>
                          <w14:schemeClr w14:val="tx1"/>
                        </w14:solidFill>
                      </w14:textFill>
                    </w:rPr>
                    <w:t xml:space="preserve"> </w:t>
                  </w:r>
                </w:p>
              </w:tc>
              <w:tc>
                <w:tcPr>
                  <w:tcW w:w="1580" w:type="dxa"/>
                </w:tcPr>
                <w:p>
                  <w:pPr>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辣椒粉</w:t>
                  </w:r>
                </w:p>
              </w:tc>
              <w:tc>
                <w:tcPr>
                  <w:tcW w:w="940"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A8"/>
                  </w:r>
                  <w:r>
                    <w:rPr>
                      <w:color w:val="000000" w:themeColor="text1"/>
                      <w:sz w:val="18"/>
                      <w:szCs w:val="18"/>
                      <w:highlight w:val="none"/>
                      <w14:textFill>
                        <w14:solidFill>
                          <w14:schemeClr w14:val="tx1"/>
                        </w14:solidFill>
                      </w14:textFill>
                    </w:rPr>
                    <w:t>抽检</w:t>
                  </w:r>
                </w:p>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color w:val="000000" w:themeColor="text1"/>
                      <w:sz w:val="18"/>
                      <w:szCs w:val="18"/>
                      <w:highlight w:val="none"/>
                      <w14:textFill>
                        <w14:solidFill>
                          <w14:schemeClr w14:val="tx1"/>
                        </w14:solidFill>
                      </w14:textFill>
                    </w:rPr>
                    <w:t>送检</w:t>
                  </w:r>
                </w:p>
              </w:tc>
              <w:tc>
                <w:tcPr>
                  <w:tcW w:w="1889" w:type="dxa"/>
                </w:tcPr>
                <w:p>
                  <w:pPr>
                    <w:rPr>
                      <w:rFonts w:hint="default" w:eastAsia="宋体"/>
                      <w:color w:val="000000" w:themeColor="text1"/>
                      <w:sz w:val="18"/>
                      <w:szCs w:val="18"/>
                      <w:highlight w:val="none"/>
                      <w:lang w:val="en-US" w:eastAsia="zh-CN"/>
                      <w14:textFill>
                        <w14:solidFill>
                          <w14:schemeClr w14:val="tx1"/>
                        </w14:solidFill>
                      </w14:textFill>
                    </w:rPr>
                  </w:pPr>
                  <w:r>
                    <w:rPr>
                      <w:rFonts w:hint="default" w:eastAsia="宋体"/>
                      <w:color w:val="000000" w:themeColor="text1"/>
                      <w:sz w:val="18"/>
                      <w:szCs w:val="18"/>
                      <w:highlight w:val="none"/>
                      <w:lang w:val="en-US" w:eastAsia="zh-CN"/>
                      <w14:textFill>
                        <w14:solidFill>
                          <w14:schemeClr w14:val="tx1"/>
                        </w14:solidFill>
                      </w14:textFill>
                    </w:rPr>
                    <w:t>YA132103FD02225</w:t>
                  </w:r>
                </w:p>
              </w:tc>
              <w:tc>
                <w:tcPr>
                  <w:tcW w:w="1276" w:type="dxa"/>
                </w:tcPr>
                <w:p>
                  <w:pP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20</w:t>
                  </w:r>
                  <w:r>
                    <w:rPr>
                      <w:color w:val="000000" w:themeColor="text1"/>
                      <w:sz w:val="18"/>
                      <w:szCs w:val="18"/>
                      <w:highlight w:val="none"/>
                      <w14:textFill>
                        <w14:solidFill>
                          <w14:schemeClr w14:val="tx1"/>
                        </w14:solidFill>
                      </w14:textFill>
                    </w:rPr>
                    <w:t>2</w:t>
                  </w:r>
                  <w:r>
                    <w:rPr>
                      <w:rFonts w:hint="eastAsia"/>
                      <w:color w:val="000000" w:themeColor="text1"/>
                      <w:sz w:val="18"/>
                      <w:szCs w:val="18"/>
                      <w:highlight w:val="none"/>
                      <w:lang w:val="en-US" w:eastAsia="zh-CN"/>
                      <w14:textFill>
                        <w14:solidFill>
                          <w14:schemeClr w14:val="tx1"/>
                        </w14:solidFill>
                      </w14:textFill>
                    </w:rPr>
                    <w:t>1-04-06</w:t>
                  </w:r>
                  <w:r>
                    <w:rPr>
                      <w:rFonts w:hint="eastAsia"/>
                      <w:color w:val="000000" w:themeColor="text1"/>
                      <w:sz w:val="18"/>
                      <w:szCs w:val="18"/>
                      <w:highlight w:val="none"/>
                      <w14:textFill>
                        <w14:solidFill>
                          <w14:schemeClr w14:val="tx1"/>
                        </w14:solidFill>
                      </w14:textFill>
                    </w:rPr>
                    <w:t xml:space="preserve"> </w:t>
                  </w:r>
                </w:p>
              </w:tc>
              <w:tc>
                <w:tcPr>
                  <w:tcW w:w="1585"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color w:val="000000" w:themeColor="text1"/>
                      <w:sz w:val="18"/>
                      <w:szCs w:val="18"/>
                      <w:highlight w:val="none"/>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highlight w:val="none"/>
                      <w:u w:val="none"/>
                      <w:lang w:val="en-US" w:eastAsia="zh-CN"/>
                      <w14:textFill>
                        <w14:solidFill>
                          <w14:schemeClr w14:val="tx1"/>
                        </w14:solidFill>
                      </w14:textFill>
                    </w:rPr>
                    <w:t>2</w:t>
                  </w:r>
                  <w:r>
                    <w:rPr>
                      <w:rFonts w:hint="eastAsia"/>
                      <w:color w:val="000000" w:themeColor="text1"/>
                      <w:highlight w:val="none"/>
                      <w:u w:val="none"/>
                      <w14:textFill>
                        <w14:solidFill>
                          <w14:schemeClr w14:val="tx1"/>
                        </w14:solidFill>
                      </w14:textFill>
                    </w:rPr>
                    <w:t>0</w:t>
                  </w:r>
                  <w:r>
                    <w:rPr>
                      <w:color w:val="000000" w:themeColor="text1"/>
                      <w:highlight w:val="none"/>
                      <w:u w:val="none"/>
                      <w14:textFill>
                        <w14:solidFill>
                          <w14:schemeClr w14:val="tx1"/>
                        </w14:solidFill>
                      </w14:textFill>
                    </w:rPr>
                    <w:t>2</w:t>
                  </w:r>
                  <w:r>
                    <w:rPr>
                      <w:rFonts w:hint="eastAsia"/>
                      <w:color w:val="000000" w:themeColor="text1"/>
                      <w:highlight w:val="none"/>
                      <w:u w:val="none"/>
                      <w:lang w:val="en-US" w:eastAsia="zh-CN"/>
                      <w14:textFill>
                        <w14:solidFill>
                          <w14:schemeClr w14:val="tx1"/>
                        </w14:solidFill>
                      </w14:textFill>
                    </w:rPr>
                    <w:t>1-04-06</w:t>
                  </w:r>
                  <w:r>
                    <w:rPr>
                      <w:rFonts w:hint="eastAsia"/>
                      <w:color w:val="000000" w:themeColor="text1"/>
                      <w:highlight w:val="none"/>
                      <w:u w:val="none"/>
                      <w14:textFill>
                        <w14:solidFill>
                          <w14:schemeClr w14:val="tx1"/>
                        </w14:solidFill>
                      </w14:textFill>
                    </w:rPr>
                    <w:t xml:space="preserve"> </w:t>
                  </w:r>
                </w:p>
              </w:tc>
              <w:tc>
                <w:tcPr>
                  <w:tcW w:w="1580" w:type="dxa"/>
                </w:tcPr>
                <w:p>
                  <w:pPr>
                    <w:rPr>
                      <w:rFonts w:hint="default" w:eastAsia="宋体"/>
                      <w:color w:val="000000" w:themeColor="text1"/>
                      <w:sz w:val="18"/>
                      <w:szCs w:val="18"/>
                      <w:highlight w:val="none"/>
                      <w:lang w:val="en-US" w:eastAsia="zh-CN"/>
                      <w14:textFill>
                        <w14:solidFill>
                          <w14:schemeClr w14:val="tx1"/>
                        </w14:solidFill>
                      </w14:textFill>
                    </w:rPr>
                  </w:pPr>
                  <w:r>
                    <w:rPr>
                      <w:rFonts w:hint="default" w:eastAsia="宋体"/>
                      <w:color w:val="000000" w:themeColor="text1"/>
                      <w:sz w:val="18"/>
                      <w:szCs w:val="18"/>
                      <w:highlight w:val="none"/>
                      <w:lang w:val="en-US" w:eastAsia="zh-CN"/>
                      <w14:textFill>
                        <w14:solidFill>
                          <w14:schemeClr w14:val="tx1"/>
                        </w14:solidFill>
                      </w14:textFill>
                    </w:rPr>
                    <w:t>花椒粉</w:t>
                  </w:r>
                </w:p>
              </w:tc>
              <w:tc>
                <w:tcPr>
                  <w:tcW w:w="940"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A8"/>
                  </w:r>
                  <w:r>
                    <w:rPr>
                      <w:color w:val="000000" w:themeColor="text1"/>
                      <w:sz w:val="18"/>
                      <w:szCs w:val="18"/>
                      <w:highlight w:val="none"/>
                      <w14:textFill>
                        <w14:solidFill>
                          <w14:schemeClr w14:val="tx1"/>
                        </w14:solidFill>
                      </w14:textFill>
                    </w:rPr>
                    <w:t>抽检</w:t>
                  </w:r>
                </w:p>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color w:val="000000" w:themeColor="text1"/>
                      <w:sz w:val="18"/>
                      <w:szCs w:val="18"/>
                      <w:highlight w:val="none"/>
                      <w14:textFill>
                        <w14:solidFill>
                          <w14:schemeClr w14:val="tx1"/>
                        </w14:solidFill>
                      </w14:textFill>
                    </w:rPr>
                    <w:t>送检</w:t>
                  </w:r>
                </w:p>
              </w:tc>
              <w:tc>
                <w:tcPr>
                  <w:tcW w:w="1889" w:type="dxa"/>
                </w:tcPr>
                <w:p>
                  <w:pPr>
                    <w:pStyle w:val="11"/>
                    <w:ind w:left="0" w:firstLine="0" w:firstLineChars="0"/>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highlight w:val="none"/>
                      <w:u w:val="none"/>
                      <w14:textFill>
                        <w14:solidFill>
                          <w14:schemeClr w14:val="tx1"/>
                        </w14:solidFill>
                      </w14:textFill>
                    </w:rPr>
                    <w:t>YA132103FD02227</w:t>
                  </w:r>
                </w:p>
              </w:tc>
              <w:tc>
                <w:tcPr>
                  <w:tcW w:w="1276" w:type="dxa"/>
                </w:tcPr>
                <w:p>
                  <w:pPr>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highlight w:val="none"/>
                      <w:u w:val="none"/>
                      <w:lang w:val="en-US" w:eastAsia="zh-CN"/>
                      <w14:textFill>
                        <w14:solidFill>
                          <w14:schemeClr w14:val="tx1"/>
                        </w14:solidFill>
                      </w14:textFill>
                    </w:rPr>
                    <w:t>2</w:t>
                  </w:r>
                  <w:r>
                    <w:rPr>
                      <w:rFonts w:hint="eastAsia"/>
                      <w:color w:val="000000" w:themeColor="text1"/>
                      <w:highlight w:val="none"/>
                      <w:u w:val="none"/>
                      <w14:textFill>
                        <w14:solidFill>
                          <w14:schemeClr w14:val="tx1"/>
                        </w14:solidFill>
                      </w14:textFill>
                    </w:rPr>
                    <w:t>0</w:t>
                  </w:r>
                  <w:r>
                    <w:rPr>
                      <w:color w:val="000000" w:themeColor="text1"/>
                      <w:highlight w:val="none"/>
                      <w:u w:val="none"/>
                      <w14:textFill>
                        <w14:solidFill>
                          <w14:schemeClr w14:val="tx1"/>
                        </w14:solidFill>
                      </w14:textFill>
                    </w:rPr>
                    <w:t>2</w:t>
                  </w:r>
                  <w:r>
                    <w:rPr>
                      <w:rFonts w:hint="eastAsia"/>
                      <w:color w:val="000000" w:themeColor="text1"/>
                      <w:highlight w:val="none"/>
                      <w:u w:val="none"/>
                      <w:lang w:val="en-US" w:eastAsia="zh-CN"/>
                      <w14:textFill>
                        <w14:solidFill>
                          <w14:schemeClr w14:val="tx1"/>
                        </w14:solidFill>
                      </w14:textFill>
                    </w:rPr>
                    <w:t>1-04-06</w:t>
                  </w:r>
                  <w:r>
                    <w:rPr>
                      <w:rFonts w:hint="eastAsia"/>
                      <w:color w:val="000000" w:themeColor="text1"/>
                      <w:highlight w:val="none"/>
                      <w:u w:val="none"/>
                      <w14:textFill>
                        <w14:solidFill>
                          <w14:schemeClr w14:val="tx1"/>
                        </w14:solidFill>
                      </w14:textFill>
                    </w:rPr>
                    <w:t xml:space="preserve"> </w:t>
                  </w:r>
                </w:p>
              </w:tc>
              <w:tc>
                <w:tcPr>
                  <w:tcW w:w="1585"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color w:val="000000" w:themeColor="text1"/>
                      <w:sz w:val="18"/>
                      <w:szCs w:val="18"/>
                      <w:highlight w:val="none"/>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rPr>
                      <w:rFonts w:hint="eastAsia"/>
                      <w:color w:val="000000" w:themeColor="text1"/>
                      <w:highlight w:val="none"/>
                      <w:u w:val="none"/>
                      <w:lang w:val="en-US" w:eastAsia="zh-CN"/>
                      <w14:textFill>
                        <w14:solidFill>
                          <w14:schemeClr w14:val="tx1"/>
                        </w14:solidFill>
                      </w14:textFill>
                    </w:rPr>
                  </w:pPr>
                  <w:r>
                    <w:rPr>
                      <w:rFonts w:hint="eastAsia"/>
                      <w:color w:val="000000" w:themeColor="text1"/>
                      <w:highlight w:val="none"/>
                      <w:u w:val="none"/>
                      <w:lang w:val="en-US" w:eastAsia="zh-CN"/>
                      <w14:textFill>
                        <w14:solidFill>
                          <w14:schemeClr w14:val="tx1"/>
                        </w14:solidFill>
                      </w14:textFill>
                    </w:rPr>
                    <w:t>2</w:t>
                  </w:r>
                  <w:r>
                    <w:rPr>
                      <w:rFonts w:hint="eastAsia"/>
                      <w:color w:val="000000" w:themeColor="text1"/>
                      <w:highlight w:val="none"/>
                      <w:u w:val="none"/>
                      <w14:textFill>
                        <w14:solidFill>
                          <w14:schemeClr w14:val="tx1"/>
                        </w14:solidFill>
                      </w14:textFill>
                    </w:rPr>
                    <w:t>0</w:t>
                  </w:r>
                  <w:r>
                    <w:rPr>
                      <w:color w:val="000000" w:themeColor="text1"/>
                      <w:highlight w:val="none"/>
                      <w:u w:val="none"/>
                      <w14:textFill>
                        <w14:solidFill>
                          <w14:schemeClr w14:val="tx1"/>
                        </w14:solidFill>
                      </w14:textFill>
                    </w:rPr>
                    <w:t>2</w:t>
                  </w:r>
                  <w:r>
                    <w:rPr>
                      <w:rFonts w:hint="eastAsia"/>
                      <w:color w:val="000000" w:themeColor="text1"/>
                      <w:highlight w:val="none"/>
                      <w:u w:val="none"/>
                      <w:lang w:val="en-US" w:eastAsia="zh-CN"/>
                      <w14:textFill>
                        <w14:solidFill>
                          <w14:schemeClr w14:val="tx1"/>
                        </w14:solidFill>
                      </w14:textFill>
                    </w:rPr>
                    <w:t>1-04-06</w:t>
                  </w:r>
                  <w:r>
                    <w:rPr>
                      <w:rFonts w:hint="eastAsia"/>
                      <w:color w:val="000000" w:themeColor="text1"/>
                      <w:highlight w:val="none"/>
                      <w:u w:val="none"/>
                      <w14:textFill>
                        <w14:solidFill>
                          <w14:schemeClr w14:val="tx1"/>
                        </w14:solidFill>
                      </w14:textFill>
                    </w:rPr>
                    <w:t xml:space="preserve"> </w:t>
                  </w:r>
                </w:p>
              </w:tc>
              <w:tc>
                <w:tcPr>
                  <w:tcW w:w="1580" w:type="dxa"/>
                </w:tcPr>
                <w:p>
                  <w:pPr>
                    <w:rPr>
                      <w:rFonts w:hint="default" w:eastAsia="宋体"/>
                      <w:color w:val="000000" w:themeColor="text1"/>
                      <w:sz w:val="18"/>
                      <w:szCs w:val="18"/>
                      <w:highlight w:val="none"/>
                      <w:lang w:val="en-US" w:eastAsia="zh-CN"/>
                      <w14:textFill>
                        <w14:solidFill>
                          <w14:schemeClr w14:val="tx1"/>
                        </w14:solidFill>
                      </w14:textFill>
                    </w:rPr>
                  </w:pPr>
                  <w:r>
                    <w:rPr>
                      <w:rFonts w:hint="default" w:eastAsia="宋体"/>
                      <w:color w:val="000000" w:themeColor="text1"/>
                      <w:sz w:val="18"/>
                      <w:szCs w:val="18"/>
                      <w:highlight w:val="none"/>
                      <w:lang w:val="en-US" w:eastAsia="zh-CN"/>
                      <w14:textFill>
                        <w14:solidFill>
                          <w14:schemeClr w14:val="tx1"/>
                        </w14:solidFill>
                      </w14:textFill>
                    </w:rPr>
                    <w:t xml:space="preserve">白芷 </w:t>
                  </w:r>
                </w:p>
              </w:tc>
              <w:tc>
                <w:tcPr>
                  <w:tcW w:w="940" w:type="dxa"/>
                  <w:vAlign w:val="top"/>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A8"/>
                  </w:r>
                  <w:r>
                    <w:rPr>
                      <w:color w:val="000000" w:themeColor="text1"/>
                      <w:sz w:val="18"/>
                      <w:szCs w:val="18"/>
                      <w:highlight w:val="none"/>
                      <w14:textFill>
                        <w14:solidFill>
                          <w14:schemeClr w14:val="tx1"/>
                        </w14:solidFill>
                      </w14:textFill>
                    </w:rPr>
                    <w:t>抽检</w:t>
                  </w:r>
                </w:p>
                <w:p>
                  <w:pPr>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color w:val="000000" w:themeColor="text1"/>
                      <w:sz w:val="18"/>
                      <w:szCs w:val="18"/>
                      <w:highlight w:val="none"/>
                      <w14:textFill>
                        <w14:solidFill>
                          <w14:schemeClr w14:val="tx1"/>
                        </w14:solidFill>
                      </w14:textFill>
                    </w:rPr>
                    <w:t>送检</w:t>
                  </w:r>
                </w:p>
              </w:tc>
              <w:tc>
                <w:tcPr>
                  <w:tcW w:w="1889" w:type="dxa"/>
                  <w:vAlign w:val="top"/>
                </w:tcPr>
                <w:p>
                  <w:pPr>
                    <w:pStyle w:val="11"/>
                    <w:ind w:left="0" w:leftChars="0" w:firstLine="0" w:firstLineChars="0"/>
                    <w:rPr>
                      <w:rFonts w:hint="eastAsia" w:ascii="宋体" w:hAnsi="宋体"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highlight w:val="none"/>
                      <w:lang w:val="en-US" w:eastAsia="zh-CN" w:bidi="ar-SA"/>
                      <w14:textFill>
                        <w14:solidFill>
                          <w14:schemeClr w14:val="tx1"/>
                        </w14:solidFill>
                      </w14:textFill>
                    </w:rPr>
                    <w:t>YA132103FD02223</w:t>
                  </w:r>
                </w:p>
              </w:tc>
              <w:tc>
                <w:tcPr>
                  <w:tcW w:w="1276" w:type="dxa"/>
                  <w:vAlign w:val="top"/>
                </w:tcPr>
                <w:p>
                  <w:pP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highlight w:val="none"/>
                      <w:u w:val="none"/>
                      <w:lang w:val="en-US" w:eastAsia="zh-CN"/>
                      <w14:textFill>
                        <w14:solidFill>
                          <w14:schemeClr w14:val="tx1"/>
                        </w14:solidFill>
                      </w14:textFill>
                    </w:rPr>
                    <w:t>2</w:t>
                  </w:r>
                  <w:r>
                    <w:rPr>
                      <w:rFonts w:hint="eastAsia"/>
                      <w:color w:val="000000" w:themeColor="text1"/>
                      <w:highlight w:val="none"/>
                      <w:u w:val="none"/>
                      <w14:textFill>
                        <w14:solidFill>
                          <w14:schemeClr w14:val="tx1"/>
                        </w14:solidFill>
                      </w14:textFill>
                    </w:rPr>
                    <w:t>0</w:t>
                  </w:r>
                  <w:r>
                    <w:rPr>
                      <w:color w:val="000000" w:themeColor="text1"/>
                      <w:highlight w:val="none"/>
                      <w:u w:val="none"/>
                      <w14:textFill>
                        <w14:solidFill>
                          <w14:schemeClr w14:val="tx1"/>
                        </w14:solidFill>
                      </w14:textFill>
                    </w:rPr>
                    <w:t>2</w:t>
                  </w:r>
                  <w:r>
                    <w:rPr>
                      <w:rFonts w:hint="eastAsia"/>
                      <w:color w:val="000000" w:themeColor="text1"/>
                      <w:highlight w:val="none"/>
                      <w:u w:val="none"/>
                      <w:lang w:val="en-US" w:eastAsia="zh-CN"/>
                      <w14:textFill>
                        <w14:solidFill>
                          <w14:schemeClr w14:val="tx1"/>
                        </w14:solidFill>
                      </w14:textFill>
                    </w:rPr>
                    <w:t>1-04-06</w:t>
                  </w:r>
                  <w:r>
                    <w:rPr>
                      <w:rFonts w:hint="eastAsia"/>
                      <w:color w:val="000000" w:themeColor="text1"/>
                      <w:highlight w:val="none"/>
                      <w:u w:val="none"/>
                      <w14:textFill>
                        <w14:solidFill>
                          <w14:schemeClr w14:val="tx1"/>
                        </w14:solidFill>
                      </w14:textFill>
                    </w:rPr>
                    <w:t xml:space="preserve"> </w:t>
                  </w:r>
                </w:p>
              </w:tc>
              <w:tc>
                <w:tcPr>
                  <w:tcW w:w="1585" w:type="dxa"/>
                  <w:vAlign w:val="top"/>
                </w:tcPr>
                <w:p>
                  <w:pPr>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color w:val="000000" w:themeColor="text1"/>
                      <w:sz w:val="18"/>
                      <w:szCs w:val="18"/>
                      <w:highlight w:val="none"/>
                      <w14:textFill>
                        <w14:solidFill>
                          <w14:schemeClr w14:val="tx1"/>
                        </w14:solidFill>
                      </w14:textFill>
                    </w:rPr>
                    <w:t>合格 □不合格</w:t>
                  </w:r>
                </w:p>
              </w:tc>
            </w:tr>
          </w:tbl>
          <w:p>
            <w:pPr>
              <w:rPr>
                <w:rFonts w:hint="default"/>
                <w:lang w:val="en-US" w:eastAsia="zh-CN"/>
              </w:rPr>
            </w:pPr>
          </w:p>
          <w:p>
            <w:pPr>
              <w:pStyle w:val="2"/>
              <w:rPr>
                <w:rFonts w:hint="default"/>
                <w:lang w:val="en-US" w:eastAsia="zh-CN"/>
              </w:rPr>
            </w:pPr>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pPr>
              <w:jc w:val="left"/>
            </w:pPr>
            <w:r>
              <w:t>危害控制计划 (HACCP/OPRP 计划)</w:t>
            </w:r>
            <w:r>
              <w:br w:type="textWrapping"/>
            </w:r>
          </w:p>
        </w:tc>
        <w:tc>
          <w:tcPr>
            <w:tcW w:w="936" w:type="dxa"/>
            <w:gridSpan w:val="2"/>
            <w:vMerge w:val="restart"/>
            <w:shd w:val="clear" w:color="auto" w:fill="auto"/>
          </w:tcPr>
          <w:p>
            <w:r>
              <w:t>F8.5.4</w:t>
            </w:r>
          </w:p>
          <w:p/>
        </w:tc>
        <w:tc>
          <w:tcPr>
            <w:tcW w:w="745" w:type="dxa"/>
            <w:shd w:val="clear" w:color="auto" w:fill="auto"/>
          </w:tcPr>
          <w:p>
            <w:r>
              <w:t>文件名称</w:t>
            </w:r>
          </w:p>
        </w:tc>
        <w:tc>
          <w:tcPr>
            <w:tcW w:w="9523" w:type="dxa"/>
            <w:shd w:val="clear" w:color="auto" w:fill="auto"/>
          </w:tcPr>
          <w:p>
            <w:r>
              <w:t>如：</w:t>
            </w:r>
            <w:r>
              <w:rPr/>
              <w:sym w:font="Wingdings" w:char="00FE"/>
            </w:r>
            <w:r>
              <w:t>《</w:t>
            </w:r>
            <w:r>
              <w:rPr>
                <w:rFonts w:hint="eastAsia"/>
              </w:rPr>
              <w:t>危害控制</w:t>
            </w:r>
            <w:r>
              <w:t>计划》</w:t>
            </w:r>
          </w:p>
        </w:tc>
        <w:tc>
          <w:tcPr>
            <w:tcW w:w="1290"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074"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523" w:type="dxa"/>
            <w:shd w:val="clear" w:color="auto" w:fill="auto"/>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香辛料、香辛料粉生产过程涉及的OPRP、CCP点如下：</w:t>
            </w:r>
          </w:p>
          <w:tbl>
            <w:tblPr>
              <w:tblStyle w:val="12"/>
              <w:tblpPr w:leftFromText="180" w:rightFromText="180" w:vertAnchor="text" w:horzAnchor="page" w:tblpX="229" w:tblpY="621"/>
              <w:tblOverlap w:val="never"/>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30"/>
              <w:gridCol w:w="1115"/>
              <w:gridCol w:w="2370"/>
              <w:gridCol w:w="201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725" w:type="dxa"/>
                  <w:gridSpan w:val="2"/>
                  <w:vMerge w:val="restart"/>
                  <w:noWrap w:val="0"/>
                  <w:vAlign w:val="center"/>
                </w:tcPr>
                <w:p>
                  <w:pPr>
                    <w:spacing w:line="320" w:lineRule="exact"/>
                    <w:jc w:val="center"/>
                    <w:rPr>
                      <w:rFonts w:ascii="宋体" w:hAnsi="宋体"/>
                      <w:sz w:val="21"/>
                      <w:szCs w:val="21"/>
                      <w:highlight w:val="none"/>
                    </w:rPr>
                  </w:pPr>
                  <w:bookmarkStart w:id="0" w:name="_GoBack"/>
                  <w:r>
                    <w:rPr>
                      <w:rFonts w:hint="eastAsia" w:ascii="宋体" w:hAnsi="宋体"/>
                      <w:sz w:val="21"/>
                      <w:szCs w:val="21"/>
                      <w:highlight w:val="none"/>
                    </w:rPr>
                    <w:t>危害</w:t>
                  </w:r>
                  <w:r>
                    <w:rPr>
                      <w:rFonts w:ascii="宋体" w:hAnsi="宋体"/>
                      <w:sz w:val="21"/>
                      <w:szCs w:val="21"/>
                      <w:highlight w:val="none"/>
                    </w:rPr>
                    <w:t>控制点（CCP/OPRP）</w:t>
                  </w:r>
                </w:p>
              </w:tc>
              <w:tc>
                <w:tcPr>
                  <w:tcW w:w="1115" w:type="dxa"/>
                  <w:vMerge w:val="restart"/>
                  <w:noWrap w:val="0"/>
                  <w:vAlign w:val="center"/>
                </w:tcPr>
                <w:p>
                  <w:pPr>
                    <w:spacing w:line="320" w:lineRule="exact"/>
                    <w:jc w:val="center"/>
                    <w:rPr>
                      <w:rFonts w:ascii="宋体" w:hAnsi="宋体"/>
                      <w:sz w:val="21"/>
                      <w:szCs w:val="21"/>
                      <w:highlight w:val="none"/>
                    </w:rPr>
                  </w:pPr>
                  <w:r>
                    <w:rPr>
                      <w:rFonts w:ascii="宋体" w:hAnsi="宋体"/>
                      <w:sz w:val="21"/>
                      <w:szCs w:val="21"/>
                      <w:highlight w:val="none"/>
                    </w:rPr>
                    <w:t>显著危害</w:t>
                  </w:r>
                </w:p>
              </w:tc>
              <w:tc>
                <w:tcPr>
                  <w:tcW w:w="2370" w:type="dxa"/>
                  <w:vMerge w:val="restart"/>
                  <w:noWrap w:val="0"/>
                  <w:vAlign w:val="center"/>
                </w:tcPr>
                <w:p>
                  <w:pPr>
                    <w:spacing w:line="320" w:lineRule="exact"/>
                    <w:jc w:val="center"/>
                    <w:rPr>
                      <w:rFonts w:ascii="宋体" w:hAnsi="宋体"/>
                      <w:sz w:val="21"/>
                      <w:szCs w:val="21"/>
                      <w:highlight w:val="none"/>
                    </w:rPr>
                  </w:pPr>
                  <w:r>
                    <w:rPr>
                      <w:rFonts w:ascii="宋体" w:hAnsi="宋体"/>
                      <w:sz w:val="21"/>
                      <w:szCs w:val="21"/>
                      <w:highlight w:val="none"/>
                    </w:rPr>
                    <w:t>每个预防措施的</w:t>
                  </w:r>
                </w:p>
                <w:p>
                  <w:pPr>
                    <w:spacing w:line="320" w:lineRule="exact"/>
                    <w:jc w:val="center"/>
                    <w:rPr>
                      <w:rFonts w:ascii="宋体" w:hAnsi="宋体"/>
                      <w:sz w:val="21"/>
                      <w:szCs w:val="21"/>
                      <w:highlight w:val="none"/>
                    </w:rPr>
                  </w:pPr>
                  <w:r>
                    <w:rPr>
                      <w:rFonts w:ascii="宋体" w:hAnsi="宋体"/>
                      <w:sz w:val="21"/>
                      <w:szCs w:val="21"/>
                      <w:highlight w:val="none"/>
                    </w:rPr>
                    <w:t>关键限值</w:t>
                  </w:r>
                  <w:r>
                    <w:rPr>
                      <w:rFonts w:hint="eastAsia" w:ascii="宋体" w:hAnsi="宋体"/>
                      <w:sz w:val="21"/>
                      <w:szCs w:val="21"/>
                      <w:highlight w:val="none"/>
                    </w:rPr>
                    <w:t>/行动准则</w:t>
                  </w:r>
                </w:p>
              </w:tc>
              <w:tc>
                <w:tcPr>
                  <w:tcW w:w="2010" w:type="dxa"/>
                  <w:vMerge w:val="restart"/>
                  <w:noWrap w:val="0"/>
                  <w:vAlign w:val="center"/>
                </w:tcPr>
                <w:p>
                  <w:pPr>
                    <w:spacing w:line="32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监控方法</w:t>
                  </w:r>
                </w:p>
              </w:tc>
              <w:tc>
                <w:tcPr>
                  <w:tcW w:w="1597" w:type="dxa"/>
                  <w:vMerge w:val="restart"/>
                  <w:noWrap w:val="0"/>
                  <w:vAlign w:val="center"/>
                </w:tcPr>
                <w:p>
                  <w:pPr>
                    <w:spacing w:line="320" w:lineRule="exact"/>
                    <w:jc w:val="center"/>
                    <w:rPr>
                      <w:rFonts w:ascii="宋体" w:hAnsi="宋体"/>
                      <w:sz w:val="21"/>
                      <w:szCs w:val="21"/>
                      <w:highlight w:val="none"/>
                    </w:rPr>
                  </w:pPr>
                  <w:r>
                    <w:rPr>
                      <w:rFonts w:ascii="宋体" w:hAnsi="宋体"/>
                      <w:sz w:val="21"/>
                      <w:szCs w:val="21"/>
                      <w:highlight w:val="none"/>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725" w:type="dxa"/>
                  <w:gridSpan w:val="2"/>
                  <w:vMerge w:val="continue"/>
                  <w:noWrap w:val="0"/>
                  <w:vAlign w:val="center"/>
                </w:tcPr>
                <w:p>
                  <w:pPr>
                    <w:spacing w:line="320" w:lineRule="exact"/>
                    <w:jc w:val="center"/>
                    <w:rPr>
                      <w:rFonts w:ascii="宋体" w:hAnsi="宋体"/>
                      <w:sz w:val="21"/>
                      <w:szCs w:val="21"/>
                      <w:highlight w:val="none"/>
                    </w:rPr>
                  </w:pPr>
                </w:p>
              </w:tc>
              <w:tc>
                <w:tcPr>
                  <w:tcW w:w="1115" w:type="dxa"/>
                  <w:vMerge w:val="continue"/>
                  <w:noWrap w:val="0"/>
                  <w:vAlign w:val="center"/>
                </w:tcPr>
                <w:p>
                  <w:pPr>
                    <w:spacing w:line="320" w:lineRule="exact"/>
                    <w:jc w:val="center"/>
                    <w:rPr>
                      <w:rFonts w:ascii="宋体" w:hAnsi="宋体"/>
                      <w:sz w:val="21"/>
                      <w:szCs w:val="21"/>
                      <w:highlight w:val="none"/>
                    </w:rPr>
                  </w:pPr>
                </w:p>
              </w:tc>
              <w:tc>
                <w:tcPr>
                  <w:tcW w:w="2370" w:type="dxa"/>
                  <w:vMerge w:val="continue"/>
                  <w:noWrap w:val="0"/>
                  <w:vAlign w:val="center"/>
                </w:tcPr>
                <w:p>
                  <w:pPr>
                    <w:spacing w:line="320" w:lineRule="exact"/>
                    <w:jc w:val="center"/>
                    <w:rPr>
                      <w:rFonts w:ascii="宋体" w:hAnsi="宋体"/>
                      <w:sz w:val="21"/>
                      <w:szCs w:val="21"/>
                      <w:highlight w:val="none"/>
                    </w:rPr>
                  </w:pPr>
                </w:p>
              </w:tc>
              <w:tc>
                <w:tcPr>
                  <w:tcW w:w="2010" w:type="dxa"/>
                  <w:vMerge w:val="continue"/>
                  <w:noWrap w:val="0"/>
                  <w:vAlign w:val="center"/>
                </w:tcPr>
                <w:p>
                  <w:pPr>
                    <w:spacing w:line="320" w:lineRule="exact"/>
                    <w:jc w:val="center"/>
                    <w:rPr>
                      <w:rFonts w:ascii="宋体" w:hAnsi="宋体"/>
                      <w:sz w:val="21"/>
                      <w:szCs w:val="21"/>
                      <w:highlight w:val="none"/>
                    </w:rPr>
                  </w:pPr>
                </w:p>
              </w:tc>
              <w:tc>
                <w:tcPr>
                  <w:tcW w:w="1597" w:type="dxa"/>
                  <w:vMerge w:val="continue"/>
                  <w:noWrap w:val="0"/>
                  <w:vAlign w:val="center"/>
                </w:tcPr>
                <w:p>
                  <w:pPr>
                    <w:spacing w:line="320" w:lineRule="exact"/>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795" w:type="dxa"/>
                  <w:noWrap w:val="0"/>
                  <w:vAlign w:val="center"/>
                </w:tcPr>
                <w:p>
                  <w:pPr>
                    <w:spacing w:line="30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b/>
                      <w:sz w:val="21"/>
                      <w:szCs w:val="21"/>
                      <w:highlight w:val="none"/>
                    </w:rPr>
                    <w:t>OPRP</w:t>
                  </w:r>
                  <w:r>
                    <w:rPr>
                      <w:rFonts w:hint="eastAsia" w:ascii="宋体" w:hAnsi="宋体"/>
                      <w:b/>
                      <w:sz w:val="21"/>
                      <w:szCs w:val="21"/>
                      <w:highlight w:val="none"/>
                      <w:lang w:val="en-US" w:eastAsia="zh-CN"/>
                    </w:rPr>
                    <w:t>1-1</w:t>
                  </w:r>
                </w:p>
              </w:tc>
              <w:tc>
                <w:tcPr>
                  <w:tcW w:w="930" w:type="dxa"/>
                  <w:noWrap w:val="0"/>
                  <w:vAlign w:val="center"/>
                </w:tcPr>
                <w:p>
                  <w:pPr>
                    <w:spacing w:line="300" w:lineRule="exact"/>
                    <w:jc w:val="center"/>
                    <w:rPr>
                      <w:rFonts w:hint="eastAsia" w:ascii="宋体" w:hAnsi="宋体"/>
                      <w:b/>
                      <w:sz w:val="21"/>
                      <w:szCs w:val="21"/>
                      <w:highlight w:val="none"/>
                    </w:rPr>
                  </w:pPr>
                  <w:r>
                    <w:rPr>
                      <w:rFonts w:hint="eastAsia" w:ascii="宋体" w:hAnsi="宋体"/>
                      <w:b/>
                      <w:sz w:val="21"/>
                      <w:szCs w:val="21"/>
                      <w:highlight w:val="none"/>
                      <w:lang w:val="en-US" w:eastAsia="zh-CN"/>
                    </w:rPr>
                    <w:t>原料验收（除花胶类辣椒类）</w:t>
                  </w:r>
                </w:p>
              </w:tc>
              <w:tc>
                <w:tcPr>
                  <w:tcW w:w="1115" w:type="dxa"/>
                  <w:noWrap w:val="0"/>
                  <w:vAlign w:val="center"/>
                </w:tcPr>
                <w:p>
                  <w:pPr>
                    <w:spacing w:line="300" w:lineRule="exact"/>
                    <w:ind w:left="-59" w:leftChars="-28" w:right="-113" w:rightChars="-54"/>
                    <w:jc w:val="center"/>
                    <w:rPr>
                      <w:rFonts w:hint="eastAsia"/>
                      <w:sz w:val="21"/>
                      <w:szCs w:val="21"/>
                      <w:highlight w:val="none"/>
                    </w:rPr>
                  </w:pPr>
                  <w:r>
                    <w:rPr>
                      <w:rFonts w:hint="eastAsia"/>
                      <w:sz w:val="21"/>
                      <w:szCs w:val="21"/>
                      <w:highlight w:val="none"/>
                    </w:rPr>
                    <w:t>重金属、</w:t>
                  </w:r>
                </w:p>
                <w:p>
                  <w:pPr>
                    <w:spacing w:line="300" w:lineRule="exact"/>
                    <w:rPr>
                      <w:rFonts w:hint="eastAsia" w:ascii="宋体" w:hAnsi="宋体" w:eastAsia="宋体" w:cs="Times New Roman"/>
                      <w:kern w:val="2"/>
                      <w:sz w:val="21"/>
                      <w:szCs w:val="21"/>
                      <w:highlight w:val="none"/>
                      <w:lang w:val="en-US" w:eastAsia="zh-CN" w:bidi="ar-SA"/>
                    </w:rPr>
                  </w:pPr>
                  <w:r>
                    <w:rPr>
                      <w:rFonts w:hint="eastAsia"/>
                      <w:sz w:val="21"/>
                      <w:szCs w:val="21"/>
                      <w:highlight w:val="none"/>
                    </w:rPr>
                    <w:t>霉变</w:t>
                  </w:r>
                </w:p>
              </w:tc>
              <w:tc>
                <w:tcPr>
                  <w:tcW w:w="2370" w:type="dxa"/>
                  <w:noWrap w:val="0"/>
                  <w:vAlign w:val="center"/>
                </w:tcPr>
                <w:p>
                  <w:pPr>
                    <w:jc w:val="left"/>
                    <w:rPr>
                      <w:rFonts w:hint="default" w:ascii="Times New Roman" w:hAnsi="Times New Roman" w:eastAsia="宋体" w:cs="Times New Roman"/>
                      <w:kern w:val="2"/>
                      <w:sz w:val="21"/>
                      <w:szCs w:val="21"/>
                      <w:highlight w:val="none"/>
                      <w:lang w:val="en-US" w:eastAsia="zh-CN" w:bidi="ar-SA"/>
                    </w:rPr>
                  </w:pPr>
                  <w:r>
                    <w:rPr>
                      <w:rFonts w:hint="eastAsia" w:cs="宋体"/>
                      <w:bCs/>
                      <w:kern w:val="0"/>
                      <w:sz w:val="21"/>
                      <w:szCs w:val="21"/>
                      <w:highlight w:val="none"/>
                      <w:lang w:val="en-US" w:eastAsia="zh-CN" w:bidi="ar"/>
                    </w:rPr>
                    <w:t>1.</w:t>
                  </w:r>
                  <w:r>
                    <w:rPr>
                      <w:rFonts w:hint="eastAsia" w:cs="宋体"/>
                      <w:bCs/>
                      <w:kern w:val="0"/>
                      <w:sz w:val="21"/>
                      <w:szCs w:val="21"/>
                      <w:highlight w:val="none"/>
                      <w:lang w:bidi="ar"/>
                    </w:rPr>
                    <w:t>签订原料供应商合作协议，明确水分、铅指标等质量/食品安全条款；</w:t>
                  </w:r>
                  <w:r>
                    <w:rPr>
                      <w:rFonts w:hint="eastAsia" w:cs="宋体"/>
                      <w:bCs/>
                      <w:kern w:val="0"/>
                      <w:sz w:val="21"/>
                      <w:szCs w:val="21"/>
                      <w:highlight w:val="none"/>
                      <w:lang w:val="en-US" w:eastAsia="zh-CN" w:bidi="ar"/>
                    </w:rPr>
                    <w:t>2.</w:t>
                  </w:r>
                  <w:r>
                    <w:rPr>
                      <w:rFonts w:hint="eastAsia"/>
                      <w:sz w:val="21"/>
                      <w:szCs w:val="21"/>
                      <w:highlight w:val="none"/>
                      <w:lang w:bidi="ar"/>
                    </w:rPr>
                    <w:t>产品采购自合格供方</w:t>
                  </w:r>
                  <w:r>
                    <w:rPr>
                      <w:rFonts w:hint="eastAsia"/>
                      <w:sz w:val="21"/>
                      <w:szCs w:val="21"/>
                      <w:highlight w:val="none"/>
                      <w:lang w:eastAsia="zh-CN" w:bidi="ar"/>
                    </w:rPr>
                    <w:t>；</w:t>
                  </w:r>
                  <w:r>
                    <w:rPr>
                      <w:rFonts w:hint="eastAsia"/>
                      <w:sz w:val="21"/>
                      <w:szCs w:val="21"/>
                      <w:highlight w:val="none"/>
                      <w:lang w:val="en-US" w:eastAsia="zh-CN" w:bidi="ar"/>
                    </w:rPr>
                    <w:t>3.</w:t>
                  </w:r>
                  <w:r>
                    <w:rPr>
                      <w:rFonts w:hint="eastAsia"/>
                      <w:sz w:val="21"/>
                      <w:szCs w:val="21"/>
                      <w:highlight w:val="none"/>
                    </w:rPr>
                    <w:t>每批次检测水分、</w:t>
                  </w:r>
                  <w:r>
                    <w:rPr>
                      <w:rFonts w:hint="eastAsia"/>
                      <w:sz w:val="21"/>
                      <w:szCs w:val="21"/>
                      <w:highlight w:val="none"/>
                      <w:lang w:val="en-US" w:eastAsia="zh-CN"/>
                    </w:rPr>
                    <w:t>4. 首次成品检测铅</w:t>
                  </w:r>
                </w:p>
              </w:tc>
              <w:tc>
                <w:tcPr>
                  <w:tcW w:w="2010" w:type="dxa"/>
                  <w:noWrap w:val="0"/>
                  <w:vAlign w:val="center"/>
                </w:tcPr>
                <w:p>
                  <w:pPr>
                    <w:spacing w:line="320" w:lineRule="exact"/>
                    <w:rPr>
                      <w:rFonts w:hint="eastAsia"/>
                      <w:highlight w:val="none"/>
                    </w:rPr>
                  </w:pPr>
                  <w:r>
                    <w:rPr>
                      <w:rFonts w:hint="eastAsia"/>
                      <w:highlight w:val="none"/>
                      <w:lang w:val="en-US" w:eastAsia="zh-CN"/>
                    </w:rPr>
                    <w:t>1.</w:t>
                  </w:r>
                  <w:r>
                    <w:rPr>
                      <w:rFonts w:hint="eastAsia"/>
                      <w:highlight w:val="none"/>
                    </w:rPr>
                    <w:t>查阅合作协议</w:t>
                  </w:r>
                </w:p>
                <w:p>
                  <w:pPr>
                    <w:jc w:val="left"/>
                    <w:rPr>
                      <w:rFonts w:hint="eastAsia"/>
                      <w:highlight w:val="none"/>
                      <w:lang w:eastAsia="zh-CN"/>
                    </w:rPr>
                  </w:pPr>
                  <w:r>
                    <w:rPr>
                      <w:rFonts w:hint="eastAsia"/>
                      <w:highlight w:val="none"/>
                      <w:lang w:val="en-US" w:eastAsia="zh-CN"/>
                    </w:rPr>
                    <w:t>2.</w:t>
                  </w:r>
                  <w:r>
                    <w:rPr>
                      <w:rFonts w:hint="eastAsia"/>
                      <w:highlight w:val="none"/>
                    </w:rPr>
                    <w:t>供方报告</w:t>
                  </w:r>
                  <w:r>
                    <w:rPr>
                      <w:rFonts w:hint="eastAsia"/>
                      <w:highlight w:val="none"/>
                      <w:lang w:eastAsia="zh-CN"/>
                    </w:rPr>
                    <w:t>、</w:t>
                  </w:r>
                  <w:r>
                    <w:rPr>
                      <w:rFonts w:hint="eastAsia"/>
                      <w:highlight w:val="none"/>
                    </w:rPr>
                    <w:t>核对供方来源</w:t>
                  </w:r>
                  <w:r>
                    <w:rPr>
                      <w:rFonts w:hint="eastAsia"/>
                      <w:highlight w:val="none"/>
                      <w:lang w:eastAsia="zh-CN"/>
                    </w:rPr>
                    <w:t>；</w:t>
                  </w:r>
                </w:p>
                <w:p>
                  <w:pPr>
                    <w:jc w:val="left"/>
                    <w:rPr>
                      <w:rFonts w:hint="eastAsia"/>
                      <w:highlight w:val="none"/>
                      <w:lang w:val="en-US" w:eastAsia="zh-CN"/>
                    </w:rPr>
                  </w:pPr>
                  <w:r>
                    <w:rPr>
                      <w:rFonts w:hint="eastAsia"/>
                      <w:highlight w:val="none"/>
                      <w:lang w:val="en-US" w:eastAsia="zh-CN"/>
                    </w:rPr>
                    <w:t>3.原料进货检验；</w:t>
                  </w:r>
                </w:p>
                <w:p>
                  <w:pPr>
                    <w:pStyle w:val="2"/>
                    <w:ind w:left="0" w:leftChars="0" w:firstLine="0" w:firstLineChars="0"/>
                    <w:rPr>
                      <w:rFonts w:hint="default"/>
                      <w:highlight w:val="none"/>
                      <w:lang w:val="en-US" w:eastAsia="zh-CN"/>
                    </w:rPr>
                  </w:pPr>
                  <w:r>
                    <w:rPr>
                      <w:rFonts w:hint="eastAsia"/>
                      <w:sz w:val="21"/>
                      <w:szCs w:val="21"/>
                      <w:highlight w:val="none"/>
                      <w:lang w:val="en-US" w:eastAsia="zh-CN"/>
                    </w:rPr>
                    <w:t>4. 成品外检报告</w:t>
                  </w:r>
                </w:p>
              </w:tc>
              <w:tc>
                <w:tcPr>
                  <w:tcW w:w="1597" w:type="dxa"/>
                  <w:noWrap w:val="0"/>
                  <w:vAlign w:val="center"/>
                </w:tcPr>
                <w:p>
                  <w:pPr>
                    <w:spacing w:line="320" w:lineRule="exact"/>
                    <w:rPr>
                      <w:rFonts w:hint="eastAsia" w:ascii="宋体" w:hAnsi="宋体" w:eastAsia="宋体"/>
                      <w:sz w:val="21"/>
                      <w:szCs w:val="21"/>
                      <w:highlight w:val="none"/>
                      <w:lang w:eastAsia="zh-CN"/>
                    </w:rPr>
                  </w:pPr>
                  <w:r>
                    <w:rPr>
                      <w:rFonts w:hint="eastAsia"/>
                      <w:sz w:val="21"/>
                      <w:szCs w:val="21"/>
                      <w:highlight w:val="none"/>
                    </w:rPr>
                    <w:t>原物料进货检验记录、供方档案、检测报告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95" w:type="dxa"/>
                  <w:noWrap w:val="0"/>
                  <w:vAlign w:val="center"/>
                </w:tcPr>
                <w:p>
                  <w:pPr>
                    <w:spacing w:line="300" w:lineRule="exact"/>
                    <w:jc w:val="center"/>
                    <w:rPr>
                      <w:rFonts w:hint="eastAsia" w:ascii="Times New Roman" w:hAnsi="Times New Roman" w:eastAsia="宋体" w:cs="Times New Roman"/>
                      <w:kern w:val="2"/>
                      <w:sz w:val="21"/>
                      <w:szCs w:val="21"/>
                      <w:highlight w:val="none"/>
                      <w:lang w:val="en-US" w:eastAsia="zh-CN" w:bidi="ar-SA"/>
                    </w:rPr>
                  </w:pPr>
                  <w:r>
                    <w:rPr>
                      <w:rFonts w:hint="eastAsia" w:ascii="宋体" w:hAnsi="宋体"/>
                      <w:b/>
                      <w:sz w:val="21"/>
                      <w:szCs w:val="21"/>
                      <w:highlight w:val="none"/>
                    </w:rPr>
                    <w:t>OPRP1-2</w:t>
                  </w:r>
                </w:p>
              </w:tc>
              <w:tc>
                <w:tcPr>
                  <w:tcW w:w="930" w:type="dxa"/>
                  <w:noWrap w:val="0"/>
                  <w:vAlign w:val="center"/>
                </w:tcPr>
                <w:p>
                  <w:pPr>
                    <w:spacing w:line="300" w:lineRule="exact"/>
                    <w:jc w:val="center"/>
                    <w:rPr>
                      <w:rFonts w:hint="eastAsia" w:ascii="宋体" w:hAnsi="宋体"/>
                      <w:b/>
                      <w:sz w:val="21"/>
                      <w:szCs w:val="21"/>
                      <w:highlight w:val="none"/>
                    </w:rPr>
                  </w:pPr>
                  <w:r>
                    <w:rPr>
                      <w:rFonts w:hint="eastAsia"/>
                      <w:sz w:val="21"/>
                      <w:szCs w:val="21"/>
                      <w:highlight w:val="none"/>
                    </w:rPr>
                    <w:t>香辛料验收（花椒辣类椒类）</w:t>
                  </w:r>
                </w:p>
              </w:tc>
              <w:tc>
                <w:tcPr>
                  <w:tcW w:w="1115" w:type="dxa"/>
                  <w:noWrap w:val="0"/>
                  <w:vAlign w:val="center"/>
                </w:tcPr>
                <w:p>
                  <w:pPr>
                    <w:spacing w:line="300" w:lineRule="exact"/>
                    <w:ind w:left="-59" w:leftChars="-28" w:right="-113" w:rightChars="-54"/>
                    <w:jc w:val="center"/>
                    <w:rPr>
                      <w:rFonts w:hint="eastAsia"/>
                      <w:sz w:val="21"/>
                      <w:szCs w:val="21"/>
                      <w:highlight w:val="none"/>
                    </w:rPr>
                  </w:pPr>
                  <w:r>
                    <w:rPr>
                      <w:rFonts w:hint="eastAsia"/>
                      <w:sz w:val="21"/>
                      <w:szCs w:val="21"/>
                      <w:highlight w:val="none"/>
                    </w:rPr>
                    <w:t>重金属、</w:t>
                  </w:r>
                </w:p>
                <w:p>
                  <w:pPr>
                    <w:spacing w:line="300" w:lineRule="exact"/>
                    <w:ind w:left="-59" w:leftChars="-28" w:right="-113" w:rightChars="-54"/>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霉变</w:t>
                  </w:r>
                </w:p>
              </w:tc>
              <w:tc>
                <w:tcPr>
                  <w:tcW w:w="2370" w:type="dxa"/>
                  <w:noWrap w:val="0"/>
                  <w:vAlign w:val="center"/>
                </w:tcPr>
                <w:p>
                  <w:pPr>
                    <w:numPr>
                      <w:ilvl w:val="0"/>
                      <w:numId w:val="3"/>
                    </w:numPr>
                    <w:jc w:val="left"/>
                    <w:rPr>
                      <w:rFonts w:hint="eastAsia" w:ascii="Times New Roman" w:hAnsi="Times New Roman" w:eastAsia="宋体" w:cs="Times New Roman"/>
                      <w:kern w:val="2"/>
                      <w:sz w:val="21"/>
                      <w:szCs w:val="21"/>
                      <w:highlight w:val="none"/>
                      <w:lang w:val="en-US" w:eastAsia="zh-CN" w:bidi="ar-SA"/>
                    </w:rPr>
                  </w:pPr>
                  <w:r>
                    <w:rPr>
                      <w:rFonts w:hint="eastAsia" w:cs="宋体"/>
                      <w:bCs/>
                      <w:kern w:val="0"/>
                      <w:sz w:val="21"/>
                      <w:szCs w:val="21"/>
                      <w:highlight w:val="none"/>
                      <w:lang w:bidi="ar"/>
                    </w:rPr>
                    <w:t>签订原料供应商合作协议，明确水分、铅指标等质量/食品安全条款；</w:t>
                  </w:r>
                  <w:r>
                    <w:rPr>
                      <w:rFonts w:hint="eastAsia" w:cs="宋体"/>
                      <w:bCs/>
                      <w:kern w:val="0"/>
                      <w:sz w:val="21"/>
                      <w:szCs w:val="21"/>
                      <w:highlight w:val="none"/>
                      <w:lang w:val="en-US" w:eastAsia="zh-CN" w:bidi="ar"/>
                    </w:rPr>
                    <w:t>2.</w:t>
                  </w:r>
                  <w:r>
                    <w:rPr>
                      <w:rFonts w:hint="eastAsia"/>
                      <w:sz w:val="21"/>
                      <w:szCs w:val="21"/>
                      <w:highlight w:val="none"/>
                      <w:lang w:bidi="ar"/>
                    </w:rPr>
                    <w:t>产品采购自合格供方</w:t>
                  </w:r>
                  <w:r>
                    <w:rPr>
                      <w:rFonts w:hint="eastAsia"/>
                      <w:sz w:val="21"/>
                      <w:szCs w:val="21"/>
                      <w:highlight w:val="none"/>
                      <w:lang w:eastAsia="zh-CN" w:bidi="ar"/>
                    </w:rPr>
                    <w:t>；</w:t>
                  </w:r>
                  <w:r>
                    <w:rPr>
                      <w:rFonts w:hint="eastAsia"/>
                      <w:sz w:val="21"/>
                      <w:szCs w:val="21"/>
                      <w:highlight w:val="none"/>
                      <w:lang w:val="en-US" w:eastAsia="zh-CN" w:bidi="ar"/>
                    </w:rPr>
                    <w:t>3.</w:t>
                  </w:r>
                  <w:r>
                    <w:rPr>
                      <w:rFonts w:hint="eastAsia"/>
                      <w:sz w:val="21"/>
                      <w:szCs w:val="21"/>
                      <w:highlight w:val="none"/>
                    </w:rPr>
                    <w:t>每批次检测水分、</w:t>
                  </w:r>
                  <w:r>
                    <w:rPr>
                      <w:rFonts w:hint="eastAsia"/>
                      <w:sz w:val="21"/>
                      <w:szCs w:val="21"/>
                      <w:highlight w:val="none"/>
                      <w:lang w:val="en-US" w:eastAsia="zh-CN"/>
                    </w:rPr>
                    <w:t>4. 首次成品检测</w:t>
                  </w:r>
                  <w:r>
                    <w:rPr>
                      <w:rFonts w:hint="eastAsia"/>
                      <w:sz w:val="21"/>
                      <w:szCs w:val="21"/>
                      <w:highlight w:val="none"/>
                    </w:rPr>
                    <w:t>铅</w:t>
                  </w:r>
                  <w:r>
                    <w:rPr>
                      <w:rFonts w:hint="eastAsia"/>
                      <w:sz w:val="21"/>
                      <w:szCs w:val="21"/>
                      <w:highlight w:val="none"/>
                      <w:lang w:eastAsia="zh-CN"/>
                    </w:rPr>
                    <w:t>、</w:t>
                  </w:r>
                  <w:r>
                    <w:rPr>
                      <w:rFonts w:hint="eastAsia" w:cs="宋体"/>
                      <w:bCs/>
                      <w:kern w:val="0"/>
                      <w:sz w:val="21"/>
                      <w:szCs w:val="21"/>
                      <w:highlight w:val="none"/>
                      <w:lang w:bidi="ar"/>
                    </w:rPr>
                    <w:t>罗丹明B、苏丹红I-IV</w:t>
                  </w:r>
                </w:p>
              </w:tc>
              <w:tc>
                <w:tcPr>
                  <w:tcW w:w="2010" w:type="dxa"/>
                  <w:noWrap w:val="0"/>
                  <w:vAlign w:val="center"/>
                </w:tcPr>
                <w:p>
                  <w:pPr>
                    <w:spacing w:line="320" w:lineRule="exac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1.查阅合作协议</w:t>
                  </w:r>
                </w:p>
                <w:p>
                  <w:pPr>
                    <w:spacing w:line="320" w:lineRule="exac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2.供方报告、核对供方来源；</w:t>
                  </w:r>
                </w:p>
                <w:p>
                  <w:pPr>
                    <w:spacing w:line="320" w:lineRule="exac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3.原料进货检验；</w:t>
                  </w:r>
                </w:p>
                <w:p>
                  <w:pPr>
                    <w:spacing w:line="320" w:lineRule="exac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4. 成品外检报告</w:t>
                  </w:r>
                </w:p>
              </w:tc>
              <w:tc>
                <w:tcPr>
                  <w:tcW w:w="1597" w:type="dxa"/>
                  <w:noWrap w:val="0"/>
                  <w:vAlign w:val="center"/>
                </w:tcPr>
                <w:p>
                  <w:pPr>
                    <w:spacing w:line="320" w:lineRule="exact"/>
                    <w:rPr>
                      <w:rFonts w:hint="eastAsia" w:ascii="宋体" w:hAnsi="宋体"/>
                      <w:sz w:val="21"/>
                      <w:szCs w:val="21"/>
                      <w:highlight w:val="none"/>
                      <w:lang w:val="en-US" w:eastAsia="zh-CN"/>
                    </w:rPr>
                  </w:pPr>
                  <w:r>
                    <w:rPr>
                      <w:rFonts w:hint="eastAsia"/>
                      <w:sz w:val="21"/>
                      <w:szCs w:val="21"/>
                      <w:highlight w:val="none"/>
                    </w:rPr>
                    <w:t>原物料进货检验记录、供方档案、检测报告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95" w:type="dxa"/>
                  <w:noWrap w:val="0"/>
                  <w:vAlign w:val="center"/>
                </w:tcPr>
                <w:p>
                  <w:pPr>
                    <w:spacing w:line="32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 xml:space="preserve">OPRP2 </w:t>
                  </w:r>
                </w:p>
              </w:tc>
              <w:tc>
                <w:tcPr>
                  <w:tcW w:w="930" w:type="dxa"/>
                  <w:noWrap w:val="0"/>
                  <w:vAlign w:val="center"/>
                </w:tcPr>
                <w:p>
                  <w:pPr>
                    <w:spacing w:line="320" w:lineRule="exact"/>
                    <w:jc w:val="center"/>
                    <w:rPr>
                      <w:rFonts w:hint="eastAsia" w:ascii="宋体" w:hAnsi="宋体"/>
                      <w:sz w:val="21"/>
                      <w:szCs w:val="21"/>
                      <w:highlight w:val="none"/>
                    </w:rPr>
                  </w:pPr>
                  <w:r>
                    <w:rPr>
                      <w:rFonts w:hint="eastAsia" w:ascii="宋体" w:hAnsi="宋体"/>
                      <w:sz w:val="21"/>
                      <w:szCs w:val="21"/>
                      <w:highlight w:val="none"/>
                    </w:rPr>
                    <w:t>原料储存</w:t>
                  </w:r>
                </w:p>
              </w:tc>
              <w:tc>
                <w:tcPr>
                  <w:tcW w:w="1115" w:type="dxa"/>
                  <w:noWrap w:val="0"/>
                  <w:vAlign w:val="center"/>
                </w:tcPr>
                <w:p>
                  <w:pPr>
                    <w:spacing w:line="32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产</w:t>
                  </w:r>
                  <w:r>
                    <w:rPr>
                      <w:rFonts w:hint="eastAsia" w:ascii="宋体" w:hAnsi="宋体"/>
                      <w:sz w:val="21"/>
                      <w:szCs w:val="21"/>
                      <w:highlight w:val="none"/>
                    </w:rPr>
                    <w:t xml:space="preserve">品霉变 </w:t>
                  </w:r>
                </w:p>
              </w:tc>
              <w:tc>
                <w:tcPr>
                  <w:tcW w:w="2370" w:type="dxa"/>
                  <w:noWrap w:val="0"/>
                  <w:vAlign w:val="center"/>
                </w:tcPr>
                <w:p>
                  <w:pPr>
                    <w:jc w:val="left"/>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环境温度≤30℃</w:t>
                  </w:r>
                </w:p>
              </w:tc>
              <w:tc>
                <w:tcPr>
                  <w:tcW w:w="2010" w:type="dxa"/>
                  <w:noWrap w:val="0"/>
                  <w:vAlign w:val="center"/>
                </w:tcPr>
                <w:p>
                  <w:pPr>
                    <w:spacing w:line="320" w:lineRule="exact"/>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库管人员每天检查原辅料温度</w:t>
                  </w:r>
                </w:p>
              </w:tc>
              <w:tc>
                <w:tcPr>
                  <w:tcW w:w="1597" w:type="dxa"/>
                  <w:noWrap w:val="0"/>
                  <w:vAlign w:val="center"/>
                </w:tcPr>
                <w:p>
                  <w:pPr>
                    <w:spacing w:line="320" w:lineRule="exact"/>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《仓库温湿度记录表》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725" w:type="dxa"/>
                  <w:gridSpan w:val="2"/>
                  <w:noWrap w:val="0"/>
                  <w:vAlign w:val="center"/>
                </w:tcPr>
                <w:p>
                  <w:pPr>
                    <w:spacing w:line="32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OPRP3 内包材及内包间消毒</w:t>
                  </w:r>
                </w:p>
              </w:tc>
              <w:tc>
                <w:tcPr>
                  <w:tcW w:w="1115" w:type="dxa"/>
                  <w:noWrap w:val="0"/>
                  <w:vAlign w:val="center"/>
                </w:tcPr>
                <w:p>
                  <w:pPr>
                    <w:spacing w:line="32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 xml:space="preserve">空气微生物超标 </w:t>
                  </w:r>
                </w:p>
              </w:tc>
              <w:tc>
                <w:tcPr>
                  <w:tcW w:w="2370" w:type="dxa"/>
                  <w:noWrap w:val="0"/>
                  <w:vAlign w:val="center"/>
                </w:tcPr>
                <w:p>
                  <w:pPr>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内包材紫外线消毒≥30min</w:t>
                  </w:r>
                </w:p>
                <w:p>
                  <w:pPr>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内包间紫外线消毒≥45min</w:t>
                  </w:r>
                </w:p>
              </w:tc>
              <w:tc>
                <w:tcPr>
                  <w:tcW w:w="2010" w:type="dxa"/>
                  <w:noWrap w:val="0"/>
                  <w:vAlign w:val="center"/>
                </w:tcPr>
                <w:p>
                  <w:pPr>
                    <w:spacing w:line="320" w:lineRule="exact"/>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专人负责：</w:t>
                  </w:r>
                  <w:r>
                    <w:rPr>
                      <w:rFonts w:hint="default" w:ascii="宋体" w:hAnsi="宋体" w:eastAsia="宋体"/>
                      <w:sz w:val="21"/>
                      <w:szCs w:val="21"/>
                      <w:highlight w:val="none"/>
                      <w:lang w:val="en-US" w:eastAsia="zh-CN"/>
                    </w:rPr>
                    <w:t>内包材用前消毒；内包间班后消毒</w:t>
                  </w:r>
                </w:p>
              </w:tc>
              <w:tc>
                <w:tcPr>
                  <w:tcW w:w="1597" w:type="dxa"/>
                  <w:noWrap w:val="0"/>
                  <w:vAlign w:val="center"/>
                </w:tcPr>
                <w:p>
                  <w:pPr>
                    <w:spacing w:line="320" w:lineRule="exact"/>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eastAsia="zh-CN"/>
                    </w:rPr>
                    <w:t>《</w:t>
                  </w:r>
                  <w:r>
                    <w:rPr>
                      <w:rFonts w:hint="eastAsia" w:ascii="宋体" w:hAnsi="宋体"/>
                      <w:sz w:val="21"/>
                      <w:szCs w:val="21"/>
                      <w:highlight w:val="none"/>
                    </w:rPr>
                    <w:t>内包材及内包间消毒</w:t>
                  </w:r>
                  <w:r>
                    <w:rPr>
                      <w:rFonts w:hint="eastAsia" w:ascii="宋体" w:hAnsi="宋体"/>
                      <w:sz w:val="21"/>
                      <w:szCs w:val="21"/>
                      <w:highlight w:val="none"/>
                      <w:lang w:val="en-US" w:eastAsia="zh-CN"/>
                    </w:rPr>
                    <w:t>记录</w:t>
                  </w:r>
                  <w:r>
                    <w:rPr>
                      <w:rFonts w:hint="eastAsia" w:ascii="宋体" w:hAnsi="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725" w:type="dxa"/>
                  <w:gridSpan w:val="2"/>
                  <w:noWrap w:val="0"/>
                  <w:vAlign w:val="center"/>
                </w:tcPr>
                <w:p>
                  <w:pPr>
                    <w:spacing w:line="280" w:lineRule="exact"/>
                    <w:jc w:val="center"/>
                    <w:rPr>
                      <w:rFonts w:hint="eastAsia" w:ascii="宋体" w:hAnsi="宋体"/>
                      <w:sz w:val="21"/>
                      <w:szCs w:val="21"/>
                      <w:highlight w:val="none"/>
                    </w:rPr>
                  </w:pPr>
                  <w:r>
                    <w:rPr>
                      <w:rFonts w:hint="eastAsia"/>
                      <w:snapToGrid w:val="0"/>
                      <w:color w:val="000000"/>
                      <w:kern w:val="0"/>
                      <w:sz w:val="18"/>
                      <w:szCs w:val="18"/>
                    </w:rPr>
                    <w:t>C</w:t>
                  </w:r>
                  <w:r>
                    <w:rPr>
                      <w:snapToGrid w:val="0"/>
                      <w:color w:val="000000"/>
                      <w:kern w:val="0"/>
                      <w:sz w:val="18"/>
                      <w:szCs w:val="18"/>
                    </w:rPr>
                    <w:t>CP</w:t>
                  </w:r>
                  <w:r>
                    <w:rPr>
                      <w:rFonts w:hint="eastAsia"/>
                      <w:snapToGrid w:val="0"/>
                      <w:color w:val="000000"/>
                      <w:kern w:val="0"/>
                      <w:sz w:val="18"/>
                      <w:szCs w:val="18"/>
                    </w:rPr>
                    <w:t>1干燥</w:t>
                  </w:r>
                </w:p>
              </w:tc>
              <w:tc>
                <w:tcPr>
                  <w:tcW w:w="1115" w:type="dxa"/>
                  <w:noWrap w:val="0"/>
                  <w:vAlign w:val="center"/>
                </w:tcPr>
                <w:p>
                  <w:pPr>
                    <w:spacing w:line="320" w:lineRule="exact"/>
                    <w:jc w:val="center"/>
                    <w:rPr>
                      <w:rFonts w:ascii="宋体" w:hAnsi="宋体"/>
                      <w:color w:val="auto"/>
                      <w:sz w:val="21"/>
                      <w:szCs w:val="21"/>
                      <w:highlight w:val="none"/>
                    </w:rPr>
                  </w:pPr>
                  <w:r>
                    <w:rPr>
                      <w:rFonts w:hint="eastAsia"/>
                      <w:snapToGrid w:val="0"/>
                      <w:color w:val="000000"/>
                      <w:kern w:val="0"/>
                      <w:sz w:val="18"/>
                      <w:szCs w:val="18"/>
                    </w:rPr>
                    <w:t>霉变超标</w:t>
                  </w:r>
                </w:p>
              </w:tc>
              <w:tc>
                <w:tcPr>
                  <w:tcW w:w="2370" w:type="dxa"/>
                  <w:noWrap w:val="0"/>
                  <w:vAlign w:val="center"/>
                </w:tcPr>
                <w:p>
                  <w:pPr>
                    <w:spacing w:line="320" w:lineRule="exact"/>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温度控制在55-70℃</w:t>
                  </w:r>
                </w:p>
                <w:p>
                  <w:pPr>
                    <w:spacing w:line="320" w:lineRule="exact"/>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时间控制在15min</w:t>
                  </w:r>
                </w:p>
                <w:p>
                  <w:pPr>
                    <w:spacing w:line="320" w:lineRule="exact"/>
                    <w:rPr>
                      <w:rFonts w:hint="default" w:ascii="宋体" w:hAnsi="宋体" w:eastAsia="宋体"/>
                      <w:color w:val="auto"/>
                      <w:sz w:val="21"/>
                      <w:szCs w:val="21"/>
                      <w:highlight w:val="none"/>
                      <w:lang w:val="en-US" w:eastAsia="zh-CN"/>
                    </w:rPr>
                  </w:pPr>
                </w:p>
              </w:tc>
              <w:tc>
                <w:tcPr>
                  <w:tcW w:w="2010" w:type="dxa"/>
                  <w:noWrap w:val="0"/>
                  <w:vAlign w:val="center"/>
                </w:tcPr>
                <w:p>
                  <w:pPr>
                    <w:spacing w:line="320" w:lineRule="exact"/>
                    <w:rPr>
                      <w:rFonts w:hint="default" w:ascii="宋体" w:hAnsi="宋体"/>
                      <w:color w:val="FF0000"/>
                      <w:sz w:val="21"/>
                      <w:szCs w:val="21"/>
                      <w:highlight w:val="none"/>
                      <w:lang w:val="en-US" w:eastAsia="zh-CN"/>
                    </w:rPr>
                  </w:pPr>
                  <w:r>
                    <w:rPr>
                      <w:rFonts w:hint="eastAsia" w:ascii="宋体" w:hAnsi="宋体"/>
                      <w:color w:val="auto"/>
                      <w:sz w:val="21"/>
                      <w:szCs w:val="21"/>
                      <w:highlight w:val="none"/>
                      <w:lang w:val="en-US" w:eastAsia="zh-CN"/>
                    </w:rPr>
                    <w:t>每批次检测温度时间</w:t>
                  </w:r>
                </w:p>
              </w:tc>
              <w:tc>
                <w:tcPr>
                  <w:tcW w:w="1597" w:type="dxa"/>
                  <w:noWrap w:val="0"/>
                  <w:vAlign w:val="center"/>
                </w:tcPr>
                <w:p>
                  <w:pPr>
                    <w:spacing w:line="320" w:lineRule="exac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《维保干燥灭菌记录表》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1725" w:type="dxa"/>
                  <w:gridSpan w:val="2"/>
                  <w:noWrap w:val="0"/>
                  <w:vAlign w:val="center"/>
                </w:tcPr>
                <w:p>
                  <w:pPr>
                    <w:spacing w:line="320" w:lineRule="exact"/>
                    <w:jc w:val="center"/>
                    <w:rPr>
                      <w:rFonts w:hint="eastAsia" w:ascii="宋体" w:hAnsi="宋体"/>
                      <w:sz w:val="21"/>
                      <w:szCs w:val="21"/>
                      <w:highlight w:val="none"/>
                    </w:rPr>
                  </w:pPr>
                </w:p>
              </w:tc>
              <w:tc>
                <w:tcPr>
                  <w:tcW w:w="1115" w:type="dxa"/>
                  <w:noWrap w:val="0"/>
                  <w:vAlign w:val="center"/>
                </w:tcPr>
                <w:p>
                  <w:pPr>
                    <w:spacing w:line="320" w:lineRule="exact"/>
                    <w:jc w:val="center"/>
                    <w:rPr>
                      <w:rFonts w:hint="eastAsia" w:ascii="宋体" w:hAnsi="宋体"/>
                      <w:sz w:val="21"/>
                      <w:szCs w:val="21"/>
                      <w:highlight w:val="none"/>
                    </w:rPr>
                  </w:pPr>
                </w:p>
              </w:tc>
              <w:tc>
                <w:tcPr>
                  <w:tcW w:w="2370" w:type="dxa"/>
                  <w:noWrap w:val="0"/>
                  <w:vAlign w:val="center"/>
                </w:tcPr>
                <w:p>
                  <w:pPr>
                    <w:spacing w:line="320" w:lineRule="exact"/>
                    <w:rPr>
                      <w:rFonts w:hint="eastAsia" w:ascii="宋体" w:hAnsi="宋体"/>
                      <w:sz w:val="21"/>
                      <w:szCs w:val="21"/>
                      <w:highlight w:val="none"/>
                    </w:rPr>
                  </w:pPr>
                </w:p>
              </w:tc>
              <w:tc>
                <w:tcPr>
                  <w:tcW w:w="2010" w:type="dxa"/>
                  <w:noWrap w:val="0"/>
                  <w:vAlign w:val="center"/>
                </w:tcPr>
                <w:p>
                  <w:pPr>
                    <w:spacing w:line="320" w:lineRule="exact"/>
                    <w:rPr>
                      <w:rFonts w:hint="default" w:ascii="宋体" w:hAnsi="宋体" w:eastAsia="宋体"/>
                      <w:sz w:val="21"/>
                      <w:szCs w:val="21"/>
                      <w:highlight w:val="none"/>
                      <w:lang w:val="en-US" w:eastAsia="zh-CN"/>
                    </w:rPr>
                  </w:pPr>
                </w:p>
              </w:tc>
              <w:tc>
                <w:tcPr>
                  <w:tcW w:w="1597" w:type="dxa"/>
                  <w:noWrap w:val="0"/>
                  <w:vAlign w:val="center"/>
                </w:tcPr>
                <w:p>
                  <w:pPr>
                    <w:spacing w:line="320" w:lineRule="exact"/>
                    <w:rPr>
                      <w:rFonts w:hint="default" w:ascii="宋体" w:hAnsi="宋体" w:eastAsia="宋体"/>
                      <w:sz w:val="21"/>
                      <w:szCs w:val="21"/>
                      <w:highlight w:val="none"/>
                      <w:lang w:val="en-US" w:eastAsia="zh-CN"/>
                    </w:rPr>
                  </w:pPr>
                </w:p>
              </w:tc>
            </w:tr>
            <w:bookmarkEnd w:id="0"/>
          </w:tbl>
          <w:p>
            <w:pPr>
              <w:rPr>
                <w:rFonts w:asciiTheme="minorEastAsia" w:hAnsiTheme="minorEastAsia" w:eastAsiaTheme="minorEastAsia"/>
                <w:szCs w:val="21"/>
              </w:rPr>
            </w:pP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057" w:hRule="atLeast"/>
        </w:trPr>
        <w:tc>
          <w:tcPr>
            <w:tcW w:w="2174" w:type="dxa"/>
            <w:vMerge w:val="continue"/>
            <w:shd w:val="clear" w:color="auto" w:fill="auto"/>
          </w:tcPr>
          <w:p/>
        </w:tc>
        <w:tc>
          <w:tcPr>
            <w:tcW w:w="936" w:type="dxa"/>
            <w:gridSpan w:val="2"/>
            <w:shd w:val="clear" w:color="auto" w:fill="auto"/>
          </w:tcPr>
          <w:p>
            <w:r>
              <w:t>8.5.4.4 超出关键限值或行动限值采取的措施</w:t>
            </w:r>
          </w:p>
          <w:p/>
        </w:tc>
        <w:tc>
          <w:tcPr>
            <w:tcW w:w="745" w:type="dxa"/>
            <w:shd w:val="clear" w:color="auto" w:fill="auto"/>
          </w:tcPr>
          <w:p/>
        </w:tc>
        <w:tc>
          <w:tcPr>
            <w:tcW w:w="9523" w:type="dxa"/>
            <w:shd w:val="clear" w:color="auto" w:fill="auto"/>
          </w:tcPr>
          <w:p>
            <w:r>
              <w:rPr/>
              <w:sym w:font="Wingdings" w:char="00FE"/>
            </w:r>
            <w:r>
              <w:t>体系建立以来/</w:t>
            </w:r>
            <w:r>
              <w:rPr/>
              <w:sym w:font="Wingdings" w:char="00A8"/>
            </w:r>
            <w:r>
              <w:t xml:space="preserve">近一年  发生超出行动限值或行动限值的情况   </w:t>
            </w:r>
            <w:r>
              <w:rPr/>
              <w:sym w:font="Wingdings" w:char="00A8"/>
            </w:r>
            <w:r>
              <w:t xml:space="preserve">是  </w:t>
            </w:r>
            <w:r>
              <w:rPr/>
              <w:sym w:font="Wingdings" w:char="00FE"/>
            </w:r>
            <w:r>
              <w:t>否</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290" w:type="dxa"/>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304" w:hRule="atLeast"/>
        </w:trPr>
        <w:tc>
          <w:tcPr>
            <w:tcW w:w="2174" w:type="dxa"/>
            <w:vMerge w:val="continue"/>
            <w:shd w:val="clear" w:color="auto" w:fill="auto"/>
          </w:tcPr>
          <w:p/>
        </w:tc>
        <w:tc>
          <w:tcPr>
            <w:tcW w:w="936" w:type="dxa"/>
            <w:gridSpan w:val="2"/>
            <w:shd w:val="clear" w:color="auto" w:fill="auto"/>
          </w:tcPr>
          <w:p>
            <w:r>
              <w:t>8.5.4.5实施危害控制计划</w:t>
            </w:r>
          </w:p>
          <w:p/>
        </w:tc>
        <w:tc>
          <w:tcPr>
            <w:tcW w:w="745" w:type="dxa"/>
            <w:shd w:val="clear" w:color="auto" w:fill="auto"/>
          </w:tcPr>
          <w:p>
            <w:r>
              <w:t>现场查看</w:t>
            </w:r>
          </w:p>
        </w:tc>
        <w:tc>
          <w:tcPr>
            <w:tcW w:w="9523" w:type="dxa"/>
            <w:shd w:val="clear" w:color="auto" w:fill="auto"/>
          </w:tcPr>
          <w:p>
            <w:r>
              <w:t>OPRP的实施情况：</w:t>
            </w:r>
            <w:r>
              <w:rPr>
                <w:b/>
                <w:bCs/>
              </w:rPr>
              <w:t xml:space="preserve"> </w:t>
            </w:r>
            <w:r>
              <w:rPr>
                <w:rFonts w:hint="eastAsia"/>
                <w:b/>
                <w:bCs/>
              </w:rPr>
              <w:t>（见</w:t>
            </w:r>
            <w:r>
              <w:rPr>
                <w:rFonts w:hint="eastAsia"/>
                <w:b/>
                <w:bCs/>
                <w:lang w:val="en-US" w:eastAsia="zh-CN"/>
              </w:rPr>
              <w:t>品管部、采购部</w:t>
            </w:r>
            <w:r>
              <w:rPr>
                <w:rFonts w:hint="eastAsia"/>
                <w:b/>
                <w:bCs/>
              </w:rPr>
              <w:t>审核记录）</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pStyle w:val="11"/>
            </w:pPr>
          </w:p>
          <w:p>
            <w:r>
              <w:t>HACCP的实施情况：</w:t>
            </w:r>
            <w:r>
              <w:rPr>
                <w:rFonts w:hint="eastAsia"/>
              </w:rPr>
              <w:t>（见</w:t>
            </w:r>
            <w:r>
              <w:rPr>
                <w:rFonts w:hint="eastAsia"/>
                <w:lang w:val="en-US" w:eastAsia="zh-CN"/>
              </w:rPr>
              <w:t>生产部</w:t>
            </w:r>
            <w:r>
              <w:rPr>
                <w:rFonts w:hint="eastAsia"/>
              </w:rPr>
              <w:t>审核记录）</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pPr>
              <w:rPr>
                <w:color w:val="558ED5" w:themeColor="text2" w:themeTint="99"/>
                <w14:textFill>
                  <w14:solidFill>
                    <w14:schemeClr w14:val="tx2">
                      <w14:lumMod w14:val="60000"/>
                      <w14:lumOff w14:val="40000"/>
                    </w14:schemeClr>
                  </w14:solidFill>
                </w14:textFill>
              </w:rPr>
            </w:pPr>
          </w:p>
          <w:p/>
        </w:tc>
        <w:tc>
          <w:tcPr>
            <w:tcW w:w="1290" w:type="dxa"/>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PRP和危害控制计划文件的更新</w:t>
            </w:r>
          </w:p>
        </w:tc>
        <w:tc>
          <w:tcPr>
            <w:tcW w:w="936" w:type="dxa"/>
            <w:gridSpan w:val="2"/>
            <w:vMerge w:val="restart"/>
            <w:shd w:val="clear" w:color="auto" w:fill="auto"/>
          </w:tcPr>
          <w:p>
            <w:r>
              <w:t>F8.6</w:t>
            </w:r>
          </w:p>
          <w:p/>
        </w:tc>
        <w:tc>
          <w:tcPr>
            <w:tcW w:w="745" w:type="dxa"/>
            <w:shd w:val="clear" w:color="auto" w:fill="auto"/>
          </w:tcPr>
          <w:p>
            <w:r>
              <w:t>文件名称</w:t>
            </w:r>
          </w:p>
        </w:tc>
        <w:tc>
          <w:tcPr>
            <w:tcW w:w="9523" w:type="dxa"/>
            <w:shd w:val="clear" w:color="auto" w:fill="auto"/>
          </w:tcPr>
          <w:p>
            <w:r>
              <w:t>如：</w:t>
            </w:r>
            <w:r>
              <w:rPr/>
              <w:sym w:font="Wingdings" w:char="00FE"/>
            </w:r>
            <w:r>
              <w:t>《</w:t>
            </w:r>
            <w:r>
              <w:rPr>
                <w:rFonts w:hint="eastAsia"/>
              </w:rPr>
              <w:t>确认程序</w:t>
            </w:r>
            <w:r>
              <w:t>》</w:t>
            </w:r>
            <w:r>
              <w:rPr>
                <w:rFonts w:hint="eastAsia"/>
              </w:rPr>
              <w:t>，</w:t>
            </w:r>
            <w:r>
              <w:rPr/>
              <w:sym w:font="Wingdings" w:char="00FE"/>
            </w:r>
            <w:r>
              <w:rPr>
                <w:rFonts w:hint="eastAsia"/>
              </w:rPr>
              <w:t>手册8</w:t>
            </w:r>
            <w:r>
              <w:t>.6</w:t>
            </w:r>
            <w:r>
              <w:rPr>
                <w:rFonts w:hint="eastAsia"/>
              </w:rPr>
              <w:t>条款</w:t>
            </w:r>
          </w:p>
        </w:tc>
        <w:tc>
          <w:tcPr>
            <w:tcW w:w="1290"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936"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523" w:type="dxa"/>
            <w:shd w:val="clear" w:color="auto" w:fill="auto"/>
          </w:tcPr>
          <w:p>
            <w:r>
              <w:t>制定OPRP计划和（或） HACCP计划后， 组织对如下信息进行更新：</w:t>
            </w:r>
          </w:p>
          <w:p>
            <w:r>
              <w:rPr/>
              <w:sym w:font="Wingdings" w:char="00FE"/>
            </w:r>
            <w:r>
              <w:rPr>
                <w:rFonts w:hint="eastAsia"/>
                <w:lang w:val="en-US" w:eastAsia="zh-CN"/>
              </w:rPr>
              <w:t>近一年</w:t>
            </w:r>
            <w:r>
              <w:t>以来未发生</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HACCP计划</w:t>
                  </w:r>
                </w:p>
              </w:tc>
              <w:tc>
                <w:tcPr>
                  <w:tcW w:w="2300" w:type="dxa"/>
                </w:tcPr>
                <w:p>
                  <w:r>
                    <w:t>——</w:t>
                  </w:r>
                </w:p>
              </w:tc>
              <w:tc>
                <w:tcPr>
                  <w:tcW w:w="4818" w:type="dxa"/>
                </w:tcPr>
                <w:p/>
              </w:tc>
            </w:tr>
          </w:tbl>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46" w:hRule="atLeast"/>
        </w:trPr>
        <w:tc>
          <w:tcPr>
            <w:tcW w:w="2174" w:type="dxa"/>
            <w:vMerge w:val="restart"/>
            <w:shd w:val="clear" w:color="auto" w:fill="auto"/>
          </w:tcPr>
          <w:p>
            <w:r>
              <w:t>与 PRP、危害控制计划有关的验证</w:t>
            </w:r>
          </w:p>
          <w:p/>
        </w:tc>
        <w:tc>
          <w:tcPr>
            <w:tcW w:w="936" w:type="dxa"/>
            <w:gridSpan w:val="2"/>
            <w:vMerge w:val="restart"/>
            <w:shd w:val="clear" w:color="auto" w:fill="auto"/>
          </w:tcPr>
          <w:p>
            <w:r>
              <w:t>F8.8.1</w:t>
            </w:r>
          </w:p>
          <w:p/>
        </w:tc>
        <w:tc>
          <w:tcPr>
            <w:tcW w:w="745" w:type="dxa"/>
            <w:shd w:val="clear" w:color="auto" w:fill="auto"/>
          </w:tcPr>
          <w:p>
            <w:r>
              <w:t>文件名称</w:t>
            </w:r>
          </w:p>
        </w:tc>
        <w:tc>
          <w:tcPr>
            <w:tcW w:w="9523" w:type="dxa"/>
            <w:shd w:val="clear" w:color="auto" w:fill="auto"/>
          </w:tcPr>
          <w:p>
            <w:pPr>
              <w:rPr>
                <w:rFonts w:hint="eastAsia" w:eastAsia="宋体"/>
                <w:lang w:eastAsia="zh-CN"/>
              </w:rPr>
            </w:pPr>
            <w:r>
              <w:t>如：</w:t>
            </w:r>
            <w:r>
              <w:rPr>
                <w:rFonts w:hint="eastAsia" w:ascii="宋体" w:hAnsi="宋体"/>
              </w:rPr>
              <w:t>□</w:t>
            </w:r>
            <w:r>
              <w:t>《确认和验证控制程序》</w:t>
            </w:r>
            <w:r>
              <w:rPr>
                <w:rFonts w:hint="eastAsia"/>
                <w:lang w:eastAsia="zh-CN"/>
              </w:rPr>
              <w:t>、</w:t>
            </w:r>
            <w:r>
              <w:t xml:space="preserve"> </w:t>
            </w:r>
            <w:r>
              <w:rPr/>
              <w:sym w:font="Wingdings" w:char="00A8"/>
            </w:r>
            <w:r>
              <w:rPr>
                <w:rFonts w:hint="eastAsia"/>
              </w:rPr>
              <w:t>《验证程序》</w:t>
            </w:r>
            <w:r>
              <w:rPr>
                <w:rFonts w:hint="eastAsia"/>
                <w:lang w:eastAsia="zh-CN"/>
              </w:rPr>
              <w:t>、</w:t>
            </w:r>
            <w:r>
              <w:t xml:space="preserve"> </w:t>
            </w:r>
            <w:r>
              <w:rPr/>
              <w:sym w:font="Wingdings" w:char="00FE"/>
            </w:r>
            <w:r>
              <w:t>《</w:t>
            </w:r>
            <w:r>
              <w:rPr>
                <w:rFonts w:hint="eastAsia"/>
                <w:sz w:val="21"/>
                <w:szCs w:val="21"/>
              </w:rPr>
              <w:t>确认程序</w:t>
            </w:r>
            <w:r>
              <w:rPr>
                <w:sz w:val="18"/>
                <w:szCs w:val="18"/>
              </w:rPr>
              <w:t>》</w:t>
            </w:r>
          </w:p>
        </w:tc>
        <w:tc>
          <w:tcPr>
            <w:tcW w:w="1290" w:type="dxa"/>
            <w:vMerge w:val="restart"/>
            <w:shd w:val="clear" w:color="auto" w:fill="auto"/>
          </w:tcPr>
          <w:p>
            <w:r>
              <w:rPr/>
              <w:sym w:font="Wingdings" w:char="00FE"/>
            </w:r>
            <w:r>
              <w:t>符合</w:t>
            </w:r>
          </w:p>
          <w:p>
            <w:r>
              <w:rPr/>
              <w:sym w:font="Wingdings" w:char="00A8"/>
            </w:r>
            <w:r>
              <w:t>不符合</w:t>
            </w: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93"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523" w:type="dxa"/>
            <w:shd w:val="clear" w:color="auto" w:fill="auto"/>
          </w:tcPr>
          <w:p>
            <w:r>
              <w:t>组织建立、实施和保持验证活动。</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387"/>
              <w:gridCol w:w="2470"/>
              <w:gridCol w:w="1382"/>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noWrap w:val="0"/>
                  <w:vAlign w:val="top"/>
                </w:tcPr>
                <w:p>
                  <w:pPr>
                    <w:rPr>
                      <w:szCs w:val="21"/>
                    </w:rPr>
                  </w:pPr>
                  <w:r>
                    <w:rPr>
                      <w:rFonts w:hint="eastAsia"/>
                      <w:szCs w:val="21"/>
                    </w:rPr>
                    <w:t>目的</w:t>
                  </w:r>
                </w:p>
              </w:tc>
              <w:tc>
                <w:tcPr>
                  <w:tcW w:w="1387" w:type="dxa"/>
                  <w:noWrap w:val="0"/>
                  <w:vAlign w:val="top"/>
                </w:tcPr>
                <w:p>
                  <w:pPr>
                    <w:rPr>
                      <w:szCs w:val="21"/>
                    </w:rPr>
                  </w:pPr>
                  <w:r>
                    <w:rPr>
                      <w:rFonts w:hint="eastAsia"/>
                      <w:szCs w:val="21"/>
                    </w:rPr>
                    <w:t>方法</w:t>
                  </w:r>
                </w:p>
              </w:tc>
              <w:tc>
                <w:tcPr>
                  <w:tcW w:w="2470" w:type="dxa"/>
                  <w:noWrap w:val="0"/>
                  <w:vAlign w:val="top"/>
                </w:tcPr>
                <w:p>
                  <w:pPr>
                    <w:rPr>
                      <w:szCs w:val="21"/>
                    </w:rPr>
                  </w:pPr>
                  <w:r>
                    <w:rPr>
                      <w:rFonts w:hint="eastAsia"/>
                      <w:szCs w:val="21"/>
                    </w:rPr>
                    <w:t>频次</w:t>
                  </w:r>
                </w:p>
              </w:tc>
              <w:tc>
                <w:tcPr>
                  <w:tcW w:w="1382" w:type="dxa"/>
                  <w:noWrap w:val="0"/>
                  <w:vAlign w:val="top"/>
                </w:tcPr>
                <w:p>
                  <w:pPr>
                    <w:rPr>
                      <w:szCs w:val="21"/>
                    </w:rPr>
                  </w:pPr>
                  <w:r>
                    <w:rPr>
                      <w:rFonts w:hint="eastAsia"/>
                      <w:szCs w:val="21"/>
                    </w:rPr>
                    <w:t>职责</w:t>
                  </w:r>
                </w:p>
              </w:tc>
              <w:tc>
                <w:tcPr>
                  <w:tcW w:w="1809" w:type="dxa"/>
                  <w:noWrap w:val="0"/>
                  <w:vAlign w:val="top"/>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noWrap w:val="0"/>
                  <w:vAlign w:val="top"/>
                </w:tcPr>
                <w:p>
                  <w:pPr>
                    <w:rPr>
                      <w:szCs w:val="21"/>
                    </w:rPr>
                  </w:pPr>
                  <w:r>
                    <w:rPr>
                      <w:rFonts w:hint="eastAsia"/>
                      <w:szCs w:val="21"/>
                    </w:rPr>
                    <w:t>PRP已实施且有效</w:t>
                  </w:r>
                </w:p>
              </w:tc>
              <w:tc>
                <w:tcPr>
                  <w:tcW w:w="1387" w:type="dxa"/>
                  <w:noWrap w:val="0"/>
                  <w:vAlign w:val="top"/>
                </w:tcPr>
                <w:p>
                  <w:pPr>
                    <w:rPr>
                      <w:szCs w:val="21"/>
                    </w:rPr>
                  </w:pPr>
                  <w:r>
                    <w:rPr>
                      <w:rFonts w:hint="eastAsia"/>
                      <w:szCs w:val="21"/>
                    </w:rPr>
                    <w:t>自行检查</w:t>
                  </w:r>
                </w:p>
              </w:tc>
              <w:tc>
                <w:tcPr>
                  <w:tcW w:w="2470" w:type="dxa"/>
                  <w:noWrap w:val="0"/>
                  <w:vAlign w:val="top"/>
                </w:tcPr>
                <w:p>
                  <w:pPr>
                    <w:rPr>
                      <w:szCs w:val="21"/>
                    </w:rPr>
                  </w:pPr>
                  <w:r>
                    <w:rPr>
                      <w:rFonts w:hint="eastAsia"/>
                      <w:szCs w:val="21"/>
                    </w:rPr>
                    <w:t>首次运行或变更后重新运行时，每年至少进行一次</w:t>
                  </w:r>
                </w:p>
              </w:tc>
              <w:tc>
                <w:tcPr>
                  <w:tcW w:w="1382" w:type="dxa"/>
                  <w:noWrap w:val="0"/>
                  <w:vAlign w:val="top"/>
                </w:tcPr>
                <w:p>
                  <w:pPr>
                    <w:rPr>
                      <w:szCs w:val="21"/>
                    </w:rPr>
                  </w:pPr>
                  <w:r>
                    <w:rPr>
                      <w:rFonts w:hint="eastAsia"/>
                      <w:szCs w:val="21"/>
                      <w:lang w:val="en-US" w:eastAsia="zh-CN"/>
                    </w:rPr>
                    <w:t>食品安全</w:t>
                  </w:r>
                  <w:r>
                    <w:rPr>
                      <w:rFonts w:hint="eastAsia"/>
                      <w:szCs w:val="21"/>
                    </w:rPr>
                    <w:t>小组</w:t>
                  </w:r>
                </w:p>
              </w:tc>
              <w:tc>
                <w:tcPr>
                  <w:tcW w:w="1809" w:type="dxa"/>
                  <w:noWrap w:val="0"/>
                  <w:vAlign w:val="top"/>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95" w:type="dxa"/>
                  <w:noWrap w:val="0"/>
                  <w:vAlign w:val="top"/>
                </w:tcPr>
                <w:p>
                  <w:pPr>
                    <w:rPr>
                      <w:szCs w:val="21"/>
                    </w:rPr>
                  </w:pPr>
                  <w:r>
                    <w:rPr>
                      <w:rFonts w:hint="eastAsia"/>
                      <w:szCs w:val="21"/>
                    </w:rPr>
                    <w:t>危害控制计划实施有效</w:t>
                  </w:r>
                </w:p>
              </w:tc>
              <w:tc>
                <w:tcPr>
                  <w:tcW w:w="1387" w:type="dxa"/>
                  <w:noWrap w:val="0"/>
                  <w:vAlign w:val="top"/>
                </w:tcPr>
                <w:p>
                  <w:pPr>
                    <w:rPr>
                      <w:szCs w:val="21"/>
                    </w:rPr>
                  </w:pPr>
                  <w:r>
                    <w:rPr>
                      <w:rFonts w:hint="eastAsia"/>
                      <w:szCs w:val="21"/>
                    </w:rPr>
                    <w:t>自行检查</w:t>
                  </w:r>
                </w:p>
              </w:tc>
              <w:tc>
                <w:tcPr>
                  <w:tcW w:w="2470" w:type="dxa"/>
                  <w:noWrap w:val="0"/>
                  <w:vAlign w:val="top"/>
                </w:tcPr>
                <w:p>
                  <w:pPr>
                    <w:rPr>
                      <w:szCs w:val="21"/>
                    </w:rPr>
                  </w:pPr>
                  <w:r>
                    <w:rPr>
                      <w:rFonts w:hint="eastAsia"/>
                      <w:szCs w:val="21"/>
                    </w:rPr>
                    <w:t>每年至少进行一次</w:t>
                  </w:r>
                </w:p>
              </w:tc>
              <w:tc>
                <w:tcPr>
                  <w:tcW w:w="1382" w:type="dxa"/>
                  <w:noWrap w:val="0"/>
                  <w:vAlign w:val="top"/>
                </w:tcPr>
                <w:p>
                  <w:pPr>
                    <w:rPr>
                      <w:szCs w:val="21"/>
                    </w:rPr>
                  </w:pPr>
                  <w:r>
                    <w:rPr>
                      <w:rFonts w:hint="eastAsia"/>
                      <w:szCs w:val="21"/>
                      <w:lang w:val="en-US" w:eastAsia="zh-CN"/>
                    </w:rPr>
                    <w:t>食品安全</w:t>
                  </w:r>
                  <w:r>
                    <w:rPr>
                      <w:rFonts w:hint="eastAsia"/>
                      <w:szCs w:val="21"/>
                    </w:rPr>
                    <w:t>小组</w:t>
                  </w:r>
                </w:p>
              </w:tc>
              <w:tc>
                <w:tcPr>
                  <w:tcW w:w="1809" w:type="dxa"/>
                  <w:noWrap w:val="0"/>
                  <w:vAlign w:val="top"/>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noWrap w:val="0"/>
                  <w:vAlign w:val="top"/>
                </w:tcPr>
                <w:p>
                  <w:pPr>
                    <w:rPr>
                      <w:szCs w:val="21"/>
                    </w:rPr>
                  </w:pPr>
                  <w:r>
                    <w:rPr>
                      <w:rFonts w:hint="eastAsia"/>
                      <w:szCs w:val="21"/>
                    </w:rPr>
                    <w:t>危害水平在确定的可接受水平之内</w:t>
                  </w:r>
                </w:p>
              </w:tc>
              <w:tc>
                <w:tcPr>
                  <w:tcW w:w="1387" w:type="dxa"/>
                  <w:noWrap w:val="0"/>
                  <w:vAlign w:val="top"/>
                </w:tcPr>
                <w:p>
                  <w:pPr>
                    <w:rPr>
                      <w:szCs w:val="21"/>
                    </w:rPr>
                  </w:pPr>
                  <w:r>
                    <w:rPr>
                      <w:rFonts w:hint="eastAsia"/>
                      <w:szCs w:val="21"/>
                    </w:rPr>
                    <w:t>自行检查</w:t>
                  </w:r>
                </w:p>
                <w:p>
                  <w:pPr>
                    <w:rPr>
                      <w:szCs w:val="21"/>
                    </w:rPr>
                  </w:pPr>
                  <w:r>
                    <w:rPr>
                      <w:rFonts w:hint="eastAsia"/>
                      <w:szCs w:val="21"/>
                    </w:rPr>
                    <w:t>外部送检</w:t>
                  </w:r>
                </w:p>
              </w:tc>
              <w:tc>
                <w:tcPr>
                  <w:tcW w:w="2470" w:type="dxa"/>
                  <w:noWrap w:val="0"/>
                  <w:vAlign w:val="top"/>
                </w:tcPr>
                <w:p>
                  <w:pPr>
                    <w:rPr>
                      <w:szCs w:val="21"/>
                    </w:rPr>
                  </w:pPr>
                  <w:r>
                    <w:rPr>
                      <w:rFonts w:hint="eastAsia"/>
                      <w:szCs w:val="21"/>
                    </w:rPr>
                    <w:t>每年一次</w:t>
                  </w:r>
                </w:p>
              </w:tc>
              <w:tc>
                <w:tcPr>
                  <w:tcW w:w="1382" w:type="dxa"/>
                  <w:noWrap w:val="0"/>
                  <w:vAlign w:val="top"/>
                </w:tcPr>
                <w:p>
                  <w:pPr>
                    <w:rPr>
                      <w:szCs w:val="21"/>
                    </w:rPr>
                  </w:pPr>
                  <w:r>
                    <w:rPr>
                      <w:rFonts w:hint="eastAsia"/>
                      <w:szCs w:val="21"/>
                      <w:lang w:val="en-US" w:eastAsia="zh-CN"/>
                    </w:rPr>
                    <w:t>食品安全</w:t>
                  </w:r>
                  <w:r>
                    <w:rPr>
                      <w:rFonts w:hint="eastAsia"/>
                      <w:szCs w:val="21"/>
                    </w:rPr>
                    <w:t>小组</w:t>
                  </w:r>
                </w:p>
              </w:tc>
              <w:tc>
                <w:tcPr>
                  <w:tcW w:w="1809" w:type="dxa"/>
                  <w:noWrap w:val="0"/>
                  <w:vAlign w:val="top"/>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noWrap w:val="0"/>
                  <w:vAlign w:val="top"/>
                </w:tcPr>
                <w:p>
                  <w:pPr>
                    <w:rPr>
                      <w:szCs w:val="21"/>
                    </w:rPr>
                  </w:pPr>
                  <w:r>
                    <w:rPr>
                      <w:rFonts w:hint="eastAsia"/>
                      <w:szCs w:val="21"/>
                    </w:rPr>
                    <w:t>危害分析输入的更新</w:t>
                  </w:r>
                </w:p>
              </w:tc>
              <w:tc>
                <w:tcPr>
                  <w:tcW w:w="1387" w:type="dxa"/>
                  <w:noWrap w:val="0"/>
                  <w:vAlign w:val="top"/>
                </w:tcPr>
                <w:p>
                  <w:pPr>
                    <w:rPr>
                      <w:szCs w:val="21"/>
                    </w:rPr>
                  </w:pPr>
                  <w:r>
                    <w:rPr>
                      <w:rFonts w:hint="eastAsia"/>
                      <w:szCs w:val="21"/>
                    </w:rPr>
                    <w:t>自行检查</w:t>
                  </w:r>
                </w:p>
              </w:tc>
              <w:tc>
                <w:tcPr>
                  <w:tcW w:w="2470" w:type="dxa"/>
                  <w:noWrap w:val="0"/>
                  <w:vAlign w:val="top"/>
                </w:tcPr>
                <w:p>
                  <w:pPr>
                    <w:rPr>
                      <w:szCs w:val="21"/>
                    </w:rPr>
                  </w:pPr>
                  <w:r>
                    <w:rPr>
                      <w:rFonts w:hint="eastAsia"/>
                      <w:szCs w:val="21"/>
                    </w:rPr>
                    <w:t>首次运行或变更后重新运行时和不超过六个月的时间间隔进行</w:t>
                  </w:r>
                </w:p>
              </w:tc>
              <w:tc>
                <w:tcPr>
                  <w:tcW w:w="1382" w:type="dxa"/>
                  <w:noWrap w:val="0"/>
                  <w:vAlign w:val="top"/>
                </w:tcPr>
                <w:p>
                  <w:pPr>
                    <w:rPr>
                      <w:szCs w:val="21"/>
                    </w:rPr>
                  </w:pPr>
                  <w:r>
                    <w:rPr>
                      <w:rFonts w:hint="eastAsia"/>
                      <w:szCs w:val="21"/>
                      <w:lang w:val="en-US" w:eastAsia="zh-CN"/>
                    </w:rPr>
                    <w:t>食品安全</w:t>
                  </w:r>
                  <w:r>
                    <w:rPr>
                      <w:rFonts w:hint="eastAsia"/>
                      <w:szCs w:val="21"/>
                    </w:rPr>
                    <w:t>小组</w:t>
                  </w:r>
                </w:p>
              </w:tc>
              <w:tc>
                <w:tcPr>
                  <w:tcW w:w="1809" w:type="dxa"/>
                  <w:noWrap w:val="0"/>
                  <w:vAlign w:val="top"/>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noWrap w:val="0"/>
                  <w:vAlign w:val="top"/>
                </w:tcPr>
                <w:p>
                  <w:pPr>
                    <w:rPr>
                      <w:szCs w:val="21"/>
                    </w:rPr>
                  </w:pPr>
                  <w:r>
                    <w:rPr>
                      <w:rFonts w:hint="eastAsia"/>
                      <w:szCs w:val="21"/>
                    </w:rPr>
                    <w:t>组织确定的其他措施得以实施且有效</w:t>
                  </w:r>
                </w:p>
              </w:tc>
              <w:tc>
                <w:tcPr>
                  <w:tcW w:w="1387" w:type="dxa"/>
                  <w:noWrap w:val="0"/>
                  <w:vAlign w:val="top"/>
                </w:tcPr>
                <w:p>
                  <w:pPr>
                    <w:rPr>
                      <w:szCs w:val="21"/>
                    </w:rPr>
                  </w:pPr>
                  <w:r>
                    <w:rPr>
                      <w:rFonts w:hint="eastAsia"/>
                      <w:szCs w:val="21"/>
                    </w:rPr>
                    <w:t>——</w:t>
                  </w:r>
                </w:p>
              </w:tc>
              <w:tc>
                <w:tcPr>
                  <w:tcW w:w="2470" w:type="dxa"/>
                  <w:noWrap w:val="0"/>
                  <w:vAlign w:val="top"/>
                </w:tcPr>
                <w:p>
                  <w:pPr>
                    <w:rPr>
                      <w:szCs w:val="21"/>
                    </w:rPr>
                  </w:pPr>
                </w:p>
              </w:tc>
              <w:tc>
                <w:tcPr>
                  <w:tcW w:w="1382" w:type="dxa"/>
                  <w:noWrap w:val="0"/>
                  <w:vAlign w:val="top"/>
                </w:tcPr>
                <w:p>
                  <w:pPr>
                    <w:rPr>
                      <w:szCs w:val="21"/>
                    </w:rPr>
                  </w:pPr>
                </w:p>
              </w:tc>
              <w:tc>
                <w:tcPr>
                  <w:tcW w:w="1809" w:type="dxa"/>
                  <w:noWrap w:val="0"/>
                  <w:vAlign w:val="top"/>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highlight w:val="none"/>
                <w:u w:val="single"/>
                <w14:textFill>
                  <w14:solidFill>
                    <w14:schemeClr w14:val="tx1"/>
                  </w14:solidFill>
                </w14:textFill>
              </w:rPr>
            </w:pPr>
            <w:r>
              <w:rPr>
                <w:highlight w:val="none"/>
                <w:u w:val="single"/>
              </w:rPr>
              <w:t>见《验证报告》和《检验报告》</w:t>
            </w:r>
          </w:p>
          <w:p>
            <w:pPr>
              <w:rPr>
                <w:highlight w:val="none"/>
                <w:u w:val="single"/>
              </w:rPr>
            </w:pPr>
            <w:r>
              <w:rPr>
                <w:color w:val="000000" w:themeColor="text1"/>
                <w:highlight w:val="none"/>
                <w14:textFill>
                  <w14:solidFill>
                    <w14:schemeClr w14:val="tx1"/>
                  </w14:solidFill>
                </w14:textFill>
              </w:rPr>
              <w:t>抽取作业环境（人员、空气、工器具、接触面等）检验相关记录名称：</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见质检部审核记录</w:t>
            </w:r>
            <w:r>
              <w:rPr>
                <w:color w:val="000000" w:themeColor="text1"/>
                <w:highlight w:val="none"/>
                <w:u w:val="single"/>
                <w14:textFill>
                  <w14:solidFill>
                    <w14:schemeClr w14:val="tx1"/>
                  </w14:solidFill>
                </w14:textFill>
              </w:rPr>
              <w:t xml:space="preserve">   </w:t>
            </w:r>
            <w:r>
              <w:rPr>
                <w:highlight w:val="none"/>
                <w:u w:val="single"/>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highlight w:val="none"/>
                    </w:rPr>
                    <w:t>日期</w:t>
                  </w:r>
                </w:p>
              </w:tc>
              <w:tc>
                <w:tcPr>
                  <w:tcW w:w="1620" w:type="dxa"/>
                </w:tcPr>
                <w:p>
                  <w:pPr>
                    <w:rPr>
                      <w:highlight w:val="none"/>
                    </w:rPr>
                  </w:pPr>
                  <w:r>
                    <w:rPr>
                      <w:highlight w:val="none"/>
                    </w:rPr>
                    <w:t>样品名称</w:t>
                  </w:r>
                </w:p>
              </w:tc>
              <w:tc>
                <w:tcPr>
                  <w:tcW w:w="1364" w:type="dxa"/>
                </w:tcPr>
                <w:p>
                  <w:pPr>
                    <w:rPr>
                      <w:highlight w:val="none"/>
                    </w:rPr>
                  </w:pPr>
                  <w:r>
                    <w:rPr>
                      <w:highlight w:val="none"/>
                    </w:rPr>
                    <w:t>抽样比例</w:t>
                  </w:r>
                </w:p>
              </w:tc>
              <w:tc>
                <w:tcPr>
                  <w:tcW w:w="1680" w:type="dxa"/>
                </w:tcPr>
                <w:p>
                  <w:pPr>
                    <w:rPr>
                      <w:highlight w:val="none"/>
                    </w:rPr>
                  </w:pPr>
                  <w:r>
                    <w:rPr>
                      <w:b/>
                      <w:bCs/>
                      <w:highlight w:val="none"/>
                    </w:rPr>
                    <w:t>关键特性</w:t>
                  </w:r>
                  <w:r>
                    <w:rPr>
                      <w:highlight w:val="none"/>
                    </w:rPr>
                    <w:t>要求</w:t>
                  </w:r>
                </w:p>
              </w:tc>
              <w:tc>
                <w:tcPr>
                  <w:tcW w:w="1566" w:type="dxa"/>
                </w:tcPr>
                <w:p>
                  <w:pPr>
                    <w:rPr>
                      <w:highlight w:val="none"/>
                    </w:rPr>
                  </w:pPr>
                  <w:r>
                    <w:rPr>
                      <w:highlight w:val="none"/>
                    </w:rPr>
                    <w:t>实测结果</w:t>
                  </w:r>
                </w:p>
              </w:tc>
              <w:tc>
                <w:tcPr>
                  <w:tcW w:w="2046" w:type="dxa"/>
                </w:tcPr>
                <w:p>
                  <w:pPr>
                    <w:rPr>
                      <w:highlight w:val="none"/>
                    </w:rPr>
                  </w:pPr>
                  <w:r>
                    <w:rPr>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highlight w:val="none"/>
                    </w:rPr>
                    <w:t>——</w:t>
                  </w:r>
                </w:p>
              </w:tc>
              <w:tc>
                <w:tcPr>
                  <w:tcW w:w="1620" w:type="dxa"/>
                </w:tcPr>
                <w:p>
                  <w:pPr>
                    <w:rPr>
                      <w:highlight w:val="none"/>
                    </w:rPr>
                  </w:pPr>
                </w:p>
              </w:tc>
              <w:tc>
                <w:tcPr>
                  <w:tcW w:w="1364" w:type="dxa"/>
                </w:tcPr>
                <w:p>
                  <w:pPr>
                    <w:rPr>
                      <w:highlight w:val="none"/>
                    </w:rPr>
                  </w:pPr>
                </w:p>
              </w:tc>
              <w:tc>
                <w:tcPr>
                  <w:tcW w:w="1680" w:type="dxa"/>
                </w:tcPr>
                <w:p>
                  <w:pPr>
                    <w:rPr>
                      <w:highlight w:val="none"/>
                    </w:rPr>
                  </w:pPr>
                </w:p>
              </w:tc>
              <w:tc>
                <w:tcPr>
                  <w:tcW w:w="1566" w:type="dxa"/>
                </w:tcPr>
                <w:p>
                  <w:pPr>
                    <w:rPr>
                      <w:highlight w:val="none"/>
                    </w:rPr>
                  </w:pPr>
                </w:p>
              </w:tc>
              <w:tc>
                <w:tcPr>
                  <w:tcW w:w="2046" w:type="dxa"/>
                </w:tcPr>
                <w:p>
                  <w:pPr>
                    <w:rPr>
                      <w:highlight w:val="none"/>
                    </w:rPr>
                  </w:pPr>
                  <w:r>
                    <w:rPr>
                      <w:szCs w:val="21"/>
                      <w:highlight w:val="none"/>
                    </w:rPr>
                    <w:t>□</w:t>
                  </w:r>
                  <w:r>
                    <w:rPr>
                      <w:highlight w:val="none"/>
                    </w:rPr>
                    <w:t xml:space="preserve">合格 </w:t>
                  </w:r>
                  <w:r>
                    <w:rPr>
                      <w:szCs w:val="21"/>
                      <w:highlight w:val="none"/>
                    </w:rPr>
                    <w:t>□</w:t>
                  </w:r>
                  <w:r>
                    <w:rPr>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highlight w:val="none"/>
                    </w:rPr>
                    <w:t>——</w:t>
                  </w:r>
                </w:p>
              </w:tc>
              <w:tc>
                <w:tcPr>
                  <w:tcW w:w="1620" w:type="dxa"/>
                </w:tcPr>
                <w:p>
                  <w:pPr>
                    <w:rPr>
                      <w:highlight w:val="none"/>
                    </w:rPr>
                  </w:pPr>
                </w:p>
              </w:tc>
              <w:tc>
                <w:tcPr>
                  <w:tcW w:w="1364" w:type="dxa"/>
                </w:tcPr>
                <w:p>
                  <w:pPr>
                    <w:rPr>
                      <w:highlight w:val="none"/>
                    </w:rPr>
                  </w:pPr>
                </w:p>
              </w:tc>
              <w:tc>
                <w:tcPr>
                  <w:tcW w:w="1680" w:type="dxa"/>
                </w:tcPr>
                <w:p>
                  <w:pPr>
                    <w:rPr>
                      <w:highlight w:val="none"/>
                    </w:rPr>
                  </w:pPr>
                </w:p>
              </w:tc>
              <w:tc>
                <w:tcPr>
                  <w:tcW w:w="1566" w:type="dxa"/>
                </w:tcPr>
                <w:p>
                  <w:pPr>
                    <w:rPr>
                      <w:highlight w:val="none"/>
                    </w:rPr>
                  </w:pPr>
                </w:p>
              </w:tc>
              <w:tc>
                <w:tcPr>
                  <w:tcW w:w="2046" w:type="dxa"/>
                </w:tcPr>
                <w:p>
                  <w:pPr>
                    <w:rPr>
                      <w:highlight w:val="none"/>
                    </w:rPr>
                  </w:pPr>
                </w:p>
              </w:tc>
            </w:tr>
          </w:tbl>
          <w:p/>
          <w:p>
            <w:pPr>
              <w:rPr>
                <w:u w:val="single"/>
              </w:rPr>
            </w:pPr>
            <w:r>
              <w:t>抽取生产用水、蒸汽、冰</w:t>
            </w:r>
            <w:r>
              <w:rPr>
                <w:b/>
                <w:bCs/>
              </w:rPr>
              <w:t>检验</w:t>
            </w:r>
            <w:r>
              <w:t>相关记录名称：</w:t>
            </w:r>
            <w:r>
              <w:rPr>
                <w:u w:val="single"/>
              </w:rPr>
              <w:t xml:space="preserve">《 </w:t>
            </w:r>
            <w:r>
              <w:rPr>
                <w:rFonts w:hint="eastAsia"/>
                <w:color w:val="000000" w:themeColor="text1"/>
                <w:u w:val="single"/>
                <w:lang w:val="en-US" w:eastAsia="zh-CN"/>
                <w14:textFill>
                  <w14:solidFill>
                    <w14:schemeClr w14:val="tx1"/>
                  </w14:solidFill>
                </w14:textFill>
              </w:rPr>
              <w:t>见质检部审核记录</w:t>
            </w:r>
            <w:r>
              <w:rPr>
                <w:color w:val="000000" w:themeColor="text1"/>
                <w:u w:val="single"/>
                <w14:textFill>
                  <w14:solidFill>
                    <w14:schemeClr w14:val="tx1"/>
                  </w14:solidFill>
                </w14:textFill>
              </w:rPr>
              <w:t xml:space="preserve">  </w:t>
            </w:r>
            <w:r>
              <w:rPr>
                <w:u w:val="single"/>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sz w:val="18"/>
                      <w:szCs w:val="18"/>
                    </w:rPr>
                  </w:pPr>
                  <w:r>
                    <w:rPr/>
                    <w:sym w:font="Wingdings" w:char="00A8"/>
                  </w:r>
                  <w:r>
                    <w:rPr>
                      <w:sz w:val="18"/>
                      <w:szCs w:val="18"/>
                    </w:rPr>
                    <w:t xml:space="preserve">合格 </w:t>
                  </w:r>
                </w:p>
                <w:p>
                  <w:pPr>
                    <w:rPr>
                      <w:sz w:val="18"/>
                      <w:szCs w:val="18"/>
                    </w:rPr>
                  </w:pPr>
                  <w:r>
                    <w:rPr>
                      <w:sz w:val="18"/>
                      <w:szCs w:val="18"/>
                    </w:rPr>
                    <w:t>□不合格</w:t>
                  </w:r>
                </w:p>
              </w:tc>
            </w:tr>
          </w:tbl>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验证活动结果的分析</w:t>
            </w:r>
          </w:p>
        </w:tc>
        <w:tc>
          <w:tcPr>
            <w:tcW w:w="936" w:type="dxa"/>
            <w:gridSpan w:val="2"/>
            <w:vMerge w:val="restart"/>
            <w:shd w:val="clear" w:color="auto" w:fill="auto"/>
          </w:tcPr>
          <w:p>
            <w:r>
              <w:t>F8.8.2</w:t>
            </w:r>
          </w:p>
          <w:p/>
        </w:tc>
        <w:tc>
          <w:tcPr>
            <w:tcW w:w="745" w:type="dxa"/>
            <w:shd w:val="clear" w:color="auto" w:fill="auto"/>
          </w:tcPr>
          <w:p>
            <w:r>
              <w:t>文件名称</w:t>
            </w:r>
          </w:p>
        </w:tc>
        <w:tc>
          <w:tcPr>
            <w:tcW w:w="9523" w:type="dxa"/>
            <w:shd w:val="clear" w:color="auto" w:fill="auto"/>
          </w:tcPr>
          <w:p>
            <w:r>
              <w:t xml:space="preserve">如： </w:t>
            </w:r>
            <w:r>
              <w:rPr/>
              <w:sym w:font="Wingdings" w:char="00A8"/>
            </w:r>
            <w:r>
              <w:t xml:space="preserve">《验证和确认控制程序》 </w:t>
            </w:r>
            <w:r>
              <w:rPr/>
              <w:sym w:font="Wingdings" w:char="00FE"/>
            </w:r>
            <w:r>
              <w:t>《</w:t>
            </w:r>
            <w:r>
              <w:rPr>
                <w:rFonts w:hint="eastAsia"/>
                <w:sz w:val="21"/>
                <w:szCs w:val="21"/>
              </w:rPr>
              <w:t>食品安全管理体系确认验证程序</w:t>
            </w:r>
            <w:r>
              <w:rPr>
                <w:sz w:val="18"/>
                <w:szCs w:val="18"/>
              </w:rPr>
              <w:t>》</w:t>
            </w:r>
            <w:r>
              <w:rPr>
                <w:rFonts w:hint="eastAsia"/>
                <w:sz w:val="18"/>
                <w:szCs w:val="18"/>
              </w:rPr>
              <w:t xml:space="preserve"> </w:t>
            </w:r>
            <w:r>
              <w:t xml:space="preserve"> </w:t>
            </w:r>
            <w:r>
              <w:rPr/>
              <w:sym w:font="Wingdings" w:char="00A8"/>
            </w:r>
            <w:r>
              <w:rPr>
                <w:rFonts w:hint="eastAsia"/>
                <w:sz w:val="18"/>
                <w:szCs w:val="18"/>
              </w:rPr>
              <w:t>《验证程序》</w:t>
            </w:r>
          </w:p>
        </w:tc>
        <w:tc>
          <w:tcPr>
            <w:tcW w:w="1290"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523" w:type="dxa"/>
            <w:shd w:val="clear" w:color="auto" w:fill="auto"/>
          </w:tcPr>
          <w:p>
            <w:r>
              <w:t>食品安全小组对验证结果进行分析，并将其作为食品安全管理体系绩效评估的输入</w:t>
            </w:r>
          </w:p>
          <w:p/>
          <w:p>
            <w:pPr>
              <w:adjustRightInd w:val="0"/>
              <w:snapToGrid w:val="0"/>
              <w:spacing w:line="240" w:lineRule="atLeast"/>
              <w:ind w:firstLine="211" w:firstLineChars="100"/>
              <w:rPr>
                <w:rFonts w:hint="eastAsia"/>
                <w:b/>
                <w:bCs/>
                <w:szCs w:val="21"/>
                <w:u w:val="single"/>
              </w:rPr>
            </w:pPr>
            <w:r>
              <w:rPr>
                <w:b/>
                <w:bCs/>
                <w:szCs w:val="21"/>
                <w:u w:val="single"/>
              </w:rPr>
              <w:t>有</w:t>
            </w:r>
            <w:r>
              <w:rPr>
                <w:rFonts w:hint="eastAsia"/>
                <w:b/>
                <w:bCs/>
                <w:szCs w:val="21"/>
                <w:u w:val="single"/>
              </w:rPr>
              <w:t>《PRP现场验证记录》，202</w:t>
            </w:r>
            <w:r>
              <w:rPr>
                <w:b/>
                <w:bCs/>
                <w:szCs w:val="21"/>
                <w:u w:val="single"/>
              </w:rPr>
              <w:t>1</w:t>
            </w:r>
            <w:r>
              <w:rPr>
                <w:rFonts w:hint="eastAsia"/>
                <w:b/>
                <w:bCs/>
                <w:szCs w:val="21"/>
                <w:u w:val="single"/>
              </w:rPr>
              <w:t>-</w:t>
            </w:r>
            <w:r>
              <w:rPr>
                <w:rFonts w:hint="eastAsia"/>
                <w:b/>
                <w:bCs/>
                <w:szCs w:val="21"/>
                <w:u w:val="single"/>
                <w:lang w:val="en-US" w:eastAsia="zh-CN"/>
              </w:rPr>
              <w:t>1-04</w:t>
            </w:r>
            <w:r>
              <w:rPr>
                <w:rFonts w:hint="eastAsia"/>
                <w:b/>
                <w:bCs/>
                <w:szCs w:val="21"/>
                <w:u w:val="single"/>
              </w:rPr>
              <w:t>，结论：控制有效</w:t>
            </w:r>
          </w:p>
          <w:p>
            <w:pPr>
              <w:adjustRightInd w:val="0"/>
              <w:snapToGrid w:val="0"/>
              <w:spacing w:line="240" w:lineRule="atLeast"/>
              <w:ind w:firstLine="211" w:firstLineChars="100"/>
              <w:rPr>
                <w:rFonts w:hint="eastAsia"/>
                <w:b/>
                <w:bCs/>
                <w:szCs w:val="21"/>
                <w:u w:val="single"/>
              </w:rPr>
            </w:pPr>
            <w:r>
              <w:rPr>
                <w:rFonts w:hint="eastAsia"/>
                <w:b/>
                <w:bCs/>
                <w:szCs w:val="21"/>
                <w:u w:val="single"/>
              </w:rPr>
              <w:t>《OPRP</w:t>
            </w:r>
            <w:r>
              <w:rPr>
                <w:rFonts w:hint="eastAsia"/>
                <w:b/>
                <w:bCs/>
                <w:szCs w:val="21"/>
                <w:u w:val="single"/>
                <w:lang w:val="en-US" w:eastAsia="zh-CN"/>
              </w:rPr>
              <w:t>验证</w:t>
            </w:r>
            <w:r>
              <w:rPr>
                <w:rFonts w:hint="eastAsia"/>
                <w:b/>
                <w:bCs/>
                <w:szCs w:val="21"/>
                <w:u w:val="single"/>
              </w:rPr>
              <w:t>记录表》，202</w:t>
            </w:r>
            <w:r>
              <w:rPr>
                <w:b/>
                <w:bCs/>
                <w:szCs w:val="21"/>
                <w:u w:val="single"/>
              </w:rPr>
              <w:t>1</w:t>
            </w:r>
            <w:r>
              <w:rPr>
                <w:rFonts w:hint="eastAsia"/>
                <w:b/>
                <w:bCs/>
                <w:szCs w:val="21"/>
                <w:u w:val="single"/>
              </w:rPr>
              <w:t>-</w:t>
            </w:r>
            <w:r>
              <w:rPr>
                <w:rFonts w:hint="eastAsia"/>
                <w:b/>
                <w:bCs/>
                <w:szCs w:val="21"/>
                <w:u w:val="single"/>
                <w:lang w:val="en-US" w:eastAsia="zh-CN"/>
              </w:rPr>
              <w:t>1</w:t>
            </w:r>
            <w:r>
              <w:rPr>
                <w:rFonts w:hint="eastAsia"/>
                <w:b/>
                <w:bCs/>
                <w:szCs w:val="21"/>
                <w:u w:val="single"/>
              </w:rPr>
              <w:t>-</w:t>
            </w:r>
            <w:r>
              <w:rPr>
                <w:rFonts w:hint="eastAsia"/>
                <w:b/>
                <w:bCs/>
                <w:szCs w:val="21"/>
                <w:u w:val="single"/>
                <w:lang w:val="en-US" w:eastAsia="zh-CN"/>
              </w:rPr>
              <w:t>20</w:t>
            </w:r>
            <w:r>
              <w:rPr>
                <w:rFonts w:hint="eastAsia"/>
                <w:b/>
                <w:bCs/>
                <w:szCs w:val="21"/>
                <w:u w:val="single"/>
              </w:rPr>
              <w:t>，结论：控制有效</w:t>
            </w:r>
          </w:p>
          <w:p>
            <w:pPr>
              <w:adjustRightInd w:val="0"/>
              <w:snapToGrid w:val="0"/>
              <w:spacing w:line="240" w:lineRule="atLeast"/>
              <w:ind w:firstLine="211" w:firstLineChars="100"/>
              <w:rPr>
                <w:rFonts w:hint="eastAsia"/>
                <w:b/>
                <w:bCs/>
                <w:szCs w:val="21"/>
                <w:u w:val="single"/>
              </w:rPr>
            </w:pPr>
            <w:r>
              <w:rPr>
                <w:rFonts w:hint="eastAsia"/>
                <w:b/>
                <w:bCs/>
                <w:szCs w:val="21"/>
                <w:u w:val="single"/>
              </w:rPr>
              <w:t>《</w:t>
            </w:r>
            <w:r>
              <w:rPr>
                <w:rFonts w:hint="eastAsia"/>
                <w:b/>
                <w:bCs/>
                <w:szCs w:val="21"/>
                <w:u w:val="single"/>
                <w:lang w:val="en-US" w:eastAsia="zh-CN"/>
              </w:rPr>
              <w:t>危害控制计划验证</w:t>
            </w:r>
            <w:r>
              <w:rPr>
                <w:rFonts w:hint="eastAsia"/>
                <w:b/>
                <w:bCs/>
                <w:szCs w:val="21"/>
                <w:u w:val="single"/>
              </w:rPr>
              <w:t>记录表》，202</w:t>
            </w:r>
            <w:r>
              <w:rPr>
                <w:b/>
                <w:bCs/>
                <w:szCs w:val="21"/>
                <w:u w:val="single"/>
              </w:rPr>
              <w:t>1</w:t>
            </w:r>
            <w:r>
              <w:rPr>
                <w:rFonts w:hint="eastAsia"/>
                <w:b/>
                <w:bCs/>
                <w:szCs w:val="21"/>
                <w:u w:val="single"/>
              </w:rPr>
              <w:t>-</w:t>
            </w:r>
            <w:r>
              <w:rPr>
                <w:rFonts w:hint="eastAsia"/>
                <w:b/>
                <w:bCs/>
                <w:szCs w:val="21"/>
                <w:u w:val="single"/>
                <w:lang w:val="en-US" w:eastAsia="zh-CN"/>
              </w:rPr>
              <w:t>1</w:t>
            </w:r>
            <w:r>
              <w:rPr>
                <w:rFonts w:hint="eastAsia"/>
                <w:b/>
                <w:bCs/>
                <w:szCs w:val="21"/>
                <w:u w:val="single"/>
              </w:rPr>
              <w:t>-</w:t>
            </w:r>
            <w:r>
              <w:rPr>
                <w:rFonts w:hint="eastAsia"/>
                <w:b/>
                <w:bCs/>
                <w:szCs w:val="21"/>
                <w:u w:val="single"/>
                <w:lang w:val="en-US" w:eastAsia="zh-CN"/>
              </w:rPr>
              <w:t>20</w:t>
            </w:r>
            <w:r>
              <w:rPr>
                <w:rFonts w:hint="eastAsia"/>
                <w:b/>
                <w:bCs/>
                <w:szCs w:val="21"/>
                <w:u w:val="single"/>
              </w:rPr>
              <w:t>，结论：控制有效</w:t>
            </w:r>
          </w:p>
          <w:p>
            <w:pPr>
              <w:adjustRightInd w:val="0"/>
              <w:snapToGrid w:val="0"/>
              <w:spacing w:line="240" w:lineRule="atLeast"/>
              <w:ind w:firstLine="211" w:firstLineChars="100"/>
              <w:rPr>
                <w:b/>
                <w:bCs/>
                <w:szCs w:val="21"/>
                <w:u w:val="single"/>
              </w:rPr>
            </w:pPr>
            <w:r>
              <w:rPr>
                <w:b/>
                <w:bCs/>
                <w:szCs w:val="21"/>
                <w:u w:val="single"/>
              </w:rPr>
              <w:t>《验证活动结果分析报告》，</w:t>
            </w:r>
            <w:r>
              <w:rPr>
                <w:rFonts w:hint="eastAsia"/>
                <w:b/>
                <w:bCs/>
                <w:szCs w:val="21"/>
                <w:u w:val="single"/>
              </w:rPr>
              <w:t>2021-</w:t>
            </w:r>
            <w:r>
              <w:rPr>
                <w:rFonts w:hint="eastAsia"/>
                <w:b/>
                <w:bCs/>
                <w:szCs w:val="21"/>
                <w:u w:val="single"/>
                <w:lang w:val="en-US" w:eastAsia="zh-CN"/>
              </w:rPr>
              <w:t>4</w:t>
            </w:r>
            <w:r>
              <w:rPr>
                <w:rFonts w:hint="eastAsia"/>
                <w:b/>
                <w:bCs/>
                <w:szCs w:val="21"/>
                <w:u w:val="single"/>
              </w:rPr>
              <w:t>-</w:t>
            </w:r>
            <w:r>
              <w:rPr>
                <w:rFonts w:hint="eastAsia"/>
                <w:b/>
                <w:bCs/>
                <w:szCs w:val="21"/>
                <w:u w:val="single"/>
                <w:lang w:val="en-US" w:eastAsia="zh-CN"/>
              </w:rPr>
              <w:t>15</w:t>
            </w:r>
            <w:r>
              <w:rPr>
                <w:rFonts w:hint="eastAsia"/>
                <w:b/>
                <w:bCs/>
                <w:szCs w:val="21"/>
                <w:u w:val="single"/>
              </w:rPr>
              <w:t>，结论：控制有效</w:t>
            </w:r>
            <w:r>
              <w:rPr>
                <w:b/>
                <w:bCs/>
                <w:szCs w:val="21"/>
                <w:u w:val="single"/>
              </w:rPr>
              <w:t>。</w:t>
            </w:r>
          </w:p>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分析与评价</w:t>
            </w:r>
          </w:p>
        </w:tc>
        <w:tc>
          <w:tcPr>
            <w:tcW w:w="936" w:type="dxa"/>
            <w:gridSpan w:val="2"/>
            <w:vMerge w:val="restart"/>
          </w:tcPr>
          <w:p>
            <w:r>
              <w:t>F9.1.2</w:t>
            </w:r>
          </w:p>
        </w:tc>
        <w:tc>
          <w:tcPr>
            <w:tcW w:w="745" w:type="dxa"/>
          </w:tcPr>
          <w:p>
            <w:r>
              <w:t>文件名称</w:t>
            </w:r>
          </w:p>
        </w:tc>
        <w:tc>
          <w:tcPr>
            <w:tcW w:w="9523" w:type="dxa"/>
          </w:tcPr>
          <w:p>
            <w:r>
              <w:t>如：</w:t>
            </w:r>
            <w:r>
              <w:rPr/>
              <w:sym w:font="Wingdings" w:char="00A8"/>
            </w:r>
            <w:r>
              <w:t>《产品监视和测量控制程序》</w:t>
            </w:r>
            <w:r>
              <w:rPr>
                <w:rFonts w:hint="default" w:ascii="Segoe Print" w:hAnsi="Segoe Print" w:cs="Segoe Print"/>
              </w:rPr>
              <w:t xml:space="preserve"> </w:t>
            </w:r>
            <w:r>
              <w:rPr>
                <w:rFonts w:hint="default" w:ascii="Segoe Print" w:hAnsi="Segoe Print" w:cs="Segoe Print"/>
                <w:color w:val="000000"/>
                <w:szCs w:val="21"/>
              </w:rPr>
              <w:t>☑</w:t>
            </w:r>
            <w:r>
              <w:rPr>
                <w:rFonts w:hint="default" w:ascii="Segoe Print" w:hAnsi="Segoe Print" w:cs="Segoe Print"/>
              </w:rPr>
              <w:t xml:space="preserve"> </w:t>
            </w:r>
            <w:r>
              <w:rPr>
                <w:rFonts w:hint="eastAsia"/>
              </w:rPr>
              <w:t>《产品的监视与测量控制程序》</w:t>
            </w:r>
          </w:p>
        </w:tc>
        <w:tc>
          <w:tcPr>
            <w:tcW w:w="1290"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590" w:hRule="atLeast"/>
        </w:trPr>
        <w:tc>
          <w:tcPr>
            <w:tcW w:w="2174" w:type="dxa"/>
            <w:vMerge w:val="continue"/>
          </w:tcPr>
          <w:p/>
        </w:tc>
        <w:tc>
          <w:tcPr>
            <w:tcW w:w="936" w:type="dxa"/>
            <w:gridSpan w:val="2"/>
            <w:vMerge w:val="continue"/>
          </w:tcPr>
          <w:p/>
        </w:tc>
        <w:tc>
          <w:tcPr>
            <w:tcW w:w="745" w:type="dxa"/>
          </w:tcPr>
          <w:p>
            <w:r>
              <w:t>运行证据</w:t>
            </w:r>
          </w:p>
        </w:tc>
        <w:tc>
          <w:tcPr>
            <w:tcW w:w="9523" w:type="dxa"/>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Pr>
              <w:rPr>
                <w:rFonts w:hint="eastAsia" w:eastAsia="宋体"/>
                <w:lang w:val="en-US" w:eastAsia="zh-CN"/>
              </w:rPr>
            </w:pPr>
          </w:p>
          <w:p>
            <w:r>
              <w:t>见《验证结果分析报告》</w:t>
            </w:r>
          </w:p>
        </w:tc>
        <w:tc>
          <w:tcPr>
            <w:tcW w:w="1290" w:type="dxa"/>
            <w:vMerge w:val="continue"/>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9"/>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9E0D7"/>
    <w:multiLevelType w:val="singleLevel"/>
    <w:tmpl w:val="AAF9E0D7"/>
    <w:lvl w:ilvl="0" w:tentative="0">
      <w:start w:val="1"/>
      <w:numFmt w:val="decimal"/>
      <w:suff w:val="space"/>
      <w:lvlText w:val="%1."/>
      <w:lvlJc w:val="left"/>
    </w:lvl>
  </w:abstractNum>
  <w:abstractNum w:abstractNumId="1">
    <w:nsid w:val="D0D8E487"/>
    <w:multiLevelType w:val="singleLevel"/>
    <w:tmpl w:val="D0D8E487"/>
    <w:lvl w:ilvl="0" w:tentative="0">
      <w:start w:val="1"/>
      <w:numFmt w:val="lowerLetter"/>
      <w:suff w:val="space"/>
      <w:lvlText w:val="%1）"/>
      <w:lvlJc w:val="left"/>
    </w:lvl>
  </w:abstractNum>
  <w:abstractNum w:abstractNumId="2">
    <w:nsid w:val="56645777"/>
    <w:multiLevelType w:val="singleLevel"/>
    <w:tmpl w:val="56645777"/>
    <w:lvl w:ilvl="0" w:tentative="0">
      <w:start w:val="1"/>
      <w:numFmt w:val="lowerLetter"/>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18F"/>
    <w:rsid w:val="00014985"/>
    <w:rsid w:val="000172A7"/>
    <w:rsid w:val="00020D48"/>
    <w:rsid w:val="000237F6"/>
    <w:rsid w:val="00031FA4"/>
    <w:rsid w:val="0003219A"/>
    <w:rsid w:val="00033365"/>
    <w:rsid w:val="0003373A"/>
    <w:rsid w:val="00036635"/>
    <w:rsid w:val="000400E2"/>
    <w:rsid w:val="000455E4"/>
    <w:rsid w:val="000622D8"/>
    <w:rsid w:val="000624EE"/>
    <w:rsid w:val="00062E46"/>
    <w:rsid w:val="00066FA3"/>
    <w:rsid w:val="00077884"/>
    <w:rsid w:val="00096A61"/>
    <w:rsid w:val="000A4194"/>
    <w:rsid w:val="000A53EA"/>
    <w:rsid w:val="000B11D3"/>
    <w:rsid w:val="000B165E"/>
    <w:rsid w:val="000C0134"/>
    <w:rsid w:val="000D09A6"/>
    <w:rsid w:val="000D14C3"/>
    <w:rsid w:val="000D28BC"/>
    <w:rsid w:val="000D3451"/>
    <w:rsid w:val="000E6B21"/>
    <w:rsid w:val="000E757E"/>
    <w:rsid w:val="00100519"/>
    <w:rsid w:val="00100939"/>
    <w:rsid w:val="001126B5"/>
    <w:rsid w:val="001211F8"/>
    <w:rsid w:val="0013663D"/>
    <w:rsid w:val="0015105E"/>
    <w:rsid w:val="00154AEC"/>
    <w:rsid w:val="001607F2"/>
    <w:rsid w:val="00170956"/>
    <w:rsid w:val="00172A27"/>
    <w:rsid w:val="00174C27"/>
    <w:rsid w:val="001A0795"/>
    <w:rsid w:val="001A2D7F"/>
    <w:rsid w:val="001A5750"/>
    <w:rsid w:val="001C015D"/>
    <w:rsid w:val="001C4036"/>
    <w:rsid w:val="001C7883"/>
    <w:rsid w:val="001D59CA"/>
    <w:rsid w:val="001D6CDE"/>
    <w:rsid w:val="001F354D"/>
    <w:rsid w:val="0021056A"/>
    <w:rsid w:val="00210D0D"/>
    <w:rsid w:val="00215F05"/>
    <w:rsid w:val="0022272E"/>
    <w:rsid w:val="00224211"/>
    <w:rsid w:val="002250A0"/>
    <w:rsid w:val="002420F1"/>
    <w:rsid w:val="00246A39"/>
    <w:rsid w:val="00254E48"/>
    <w:rsid w:val="00255D00"/>
    <w:rsid w:val="00257FEC"/>
    <w:rsid w:val="0026762B"/>
    <w:rsid w:val="00282CEC"/>
    <w:rsid w:val="00290D09"/>
    <w:rsid w:val="002939AD"/>
    <w:rsid w:val="002A4523"/>
    <w:rsid w:val="002A4A77"/>
    <w:rsid w:val="002A5E14"/>
    <w:rsid w:val="002A6D92"/>
    <w:rsid w:val="002A76D8"/>
    <w:rsid w:val="002B0B14"/>
    <w:rsid w:val="002C406C"/>
    <w:rsid w:val="002D51DC"/>
    <w:rsid w:val="00305B8F"/>
    <w:rsid w:val="00305EC0"/>
    <w:rsid w:val="00307AF7"/>
    <w:rsid w:val="003108C2"/>
    <w:rsid w:val="003118C2"/>
    <w:rsid w:val="003138A8"/>
    <w:rsid w:val="00314AF6"/>
    <w:rsid w:val="0032578F"/>
    <w:rsid w:val="00327D4A"/>
    <w:rsid w:val="00330FBB"/>
    <w:rsid w:val="00335FBB"/>
    <w:rsid w:val="00337922"/>
    <w:rsid w:val="00340867"/>
    <w:rsid w:val="003456A2"/>
    <w:rsid w:val="00345CA7"/>
    <w:rsid w:val="00353F23"/>
    <w:rsid w:val="003565F6"/>
    <w:rsid w:val="00374275"/>
    <w:rsid w:val="003755E6"/>
    <w:rsid w:val="00376ADE"/>
    <w:rsid w:val="003807AA"/>
    <w:rsid w:val="00380837"/>
    <w:rsid w:val="0038228C"/>
    <w:rsid w:val="0038333F"/>
    <w:rsid w:val="00385F41"/>
    <w:rsid w:val="00394694"/>
    <w:rsid w:val="003A198A"/>
    <w:rsid w:val="003A2920"/>
    <w:rsid w:val="003A7AA7"/>
    <w:rsid w:val="003B5481"/>
    <w:rsid w:val="003C7386"/>
    <w:rsid w:val="003E385C"/>
    <w:rsid w:val="003F1C8D"/>
    <w:rsid w:val="003F6156"/>
    <w:rsid w:val="00400A07"/>
    <w:rsid w:val="00401073"/>
    <w:rsid w:val="00410421"/>
    <w:rsid w:val="00410914"/>
    <w:rsid w:val="00411120"/>
    <w:rsid w:val="004159F1"/>
    <w:rsid w:val="004177C7"/>
    <w:rsid w:val="0043137D"/>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2349"/>
    <w:rsid w:val="004A42F9"/>
    <w:rsid w:val="004A59B4"/>
    <w:rsid w:val="004B2CE4"/>
    <w:rsid w:val="004B6333"/>
    <w:rsid w:val="004C0FDE"/>
    <w:rsid w:val="004D048A"/>
    <w:rsid w:val="004D7DE5"/>
    <w:rsid w:val="004E6F1C"/>
    <w:rsid w:val="004F0CA5"/>
    <w:rsid w:val="004F31E5"/>
    <w:rsid w:val="00513101"/>
    <w:rsid w:val="00516087"/>
    <w:rsid w:val="00536930"/>
    <w:rsid w:val="00553344"/>
    <w:rsid w:val="00553CEA"/>
    <w:rsid w:val="0055669E"/>
    <w:rsid w:val="00564E53"/>
    <w:rsid w:val="005653F0"/>
    <w:rsid w:val="005665A9"/>
    <w:rsid w:val="0057371F"/>
    <w:rsid w:val="00580AD2"/>
    <w:rsid w:val="00583555"/>
    <w:rsid w:val="005841E5"/>
    <w:rsid w:val="00585108"/>
    <w:rsid w:val="00595461"/>
    <w:rsid w:val="005A00DD"/>
    <w:rsid w:val="005A3812"/>
    <w:rsid w:val="005A48EE"/>
    <w:rsid w:val="005A70B0"/>
    <w:rsid w:val="005A7E13"/>
    <w:rsid w:val="005B4EFC"/>
    <w:rsid w:val="005B5527"/>
    <w:rsid w:val="005C1255"/>
    <w:rsid w:val="005C4869"/>
    <w:rsid w:val="005D3198"/>
    <w:rsid w:val="005D5659"/>
    <w:rsid w:val="005E3DEA"/>
    <w:rsid w:val="005E5102"/>
    <w:rsid w:val="005E5230"/>
    <w:rsid w:val="00600C20"/>
    <w:rsid w:val="00602F72"/>
    <w:rsid w:val="0062028A"/>
    <w:rsid w:val="006208C0"/>
    <w:rsid w:val="00624DB2"/>
    <w:rsid w:val="00633CBF"/>
    <w:rsid w:val="00635A86"/>
    <w:rsid w:val="00641BC6"/>
    <w:rsid w:val="00644FE2"/>
    <w:rsid w:val="00647559"/>
    <w:rsid w:val="00670D8E"/>
    <w:rsid w:val="00673103"/>
    <w:rsid w:val="0067640C"/>
    <w:rsid w:val="00682A43"/>
    <w:rsid w:val="00692CB5"/>
    <w:rsid w:val="006A69D6"/>
    <w:rsid w:val="006A7B14"/>
    <w:rsid w:val="006B4977"/>
    <w:rsid w:val="006C3774"/>
    <w:rsid w:val="006D40FA"/>
    <w:rsid w:val="006E678B"/>
    <w:rsid w:val="006E7B1D"/>
    <w:rsid w:val="006F60E5"/>
    <w:rsid w:val="006F66B9"/>
    <w:rsid w:val="00721965"/>
    <w:rsid w:val="00734ABD"/>
    <w:rsid w:val="00735A6E"/>
    <w:rsid w:val="00750E6E"/>
    <w:rsid w:val="0075571F"/>
    <w:rsid w:val="00755853"/>
    <w:rsid w:val="00765B5F"/>
    <w:rsid w:val="007757F3"/>
    <w:rsid w:val="00781FEB"/>
    <w:rsid w:val="00784362"/>
    <w:rsid w:val="007A3CD1"/>
    <w:rsid w:val="007B0B22"/>
    <w:rsid w:val="007B5750"/>
    <w:rsid w:val="007C1B48"/>
    <w:rsid w:val="007C4604"/>
    <w:rsid w:val="007E3B15"/>
    <w:rsid w:val="007E6AEB"/>
    <w:rsid w:val="007F1DE2"/>
    <w:rsid w:val="007F429A"/>
    <w:rsid w:val="007F628B"/>
    <w:rsid w:val="00806F94"/>
    <w:rsid w:val="008107A0"/>
    <w:rsid w:val="00810C39"/>
    <w:rsid w:val="008200B2"/>
    <w:rsid w:val="00821DDE"/>
    <w:rsid w:val="00821F87"/>
    <w:rsid w:val="00822941"/>
    <w:rsid w:val="00827CAA"/>
    <w:rsid w:val="00835B32"/>
    <w:rsid w:val="008414EA"/>
    <w:rsid w:val="00846448"/>
    <w:rsid w:val="00854C63"/>
    <w:rsid w:val="00857CE8"/>
    <w:rsid w:val="00883736"/>
    <w:rsid w:val="008973EE"/>
    <w:rsid w:val="008B099F"/>
    <w:rsid w:val="008B3727"/>
    <w:rsid w:val="008B5732"/>
    <w:rsid w:val="008B6A82"/>
    <w:rsid w:val="008B7E81"/>
    <w:rsid w:val="008C4292"/>
    <w:rsid w:val="008C4943"/>
    <w:rsid w:val="008E278C"/>
    <w:rsid w:val="008E46FC"/>
    <w:rsid w:val="008E570B"/>
    <w:rsid w:val="008F3AE9"/>
    <w:rsid w:val="008F4053"/>
    <w:rsid w:val="008F43C8"/>
    <w:rsid w:val="008F5C30"/>
    <w:rsid w:val="00901ABC"/>
    <w:rsid w:val="009118C5"/>
    <w:rsid w:val="00913015"/>
    <w:rsid w:val="00917234"/>
    <w:rsid w:val="009211BC"/>
    <w:rsid w:val="009227FE"/>
    <w:rsid w:val="0092531B"/>
    <w:rsid w:val="009361F5"/>
    <w:rsid w:val="00941004"/>
    <w:rsid w:val="009420A7"/>
    <w:rsid w:val="009434BE"/>
    <w:rsid w:val="0095158F"/>
    <w:rsid w:val="00971600"/>
    <w:rsid w:val="00983692"/>
    <w:rsid w:val="00984FF0"/>
    <w:rsid w:val="00991504"/>
    <w:rsid w:val="009973B4"/>
    <w:rsid w:val="009A294D"/>
    <w:rsid w:val="009A4344"/>
    <w:rsid w:val="009B40E6"/>
    <w:rsid w:val="009C09D3"/>
    <w:rsid w:val="009C28C1"/>
    <w:rsid w:val="009C2A67"/>
    <w:rsid w:val="009D4C99"/>
    <w:rsid w:val="009E4594"/>
    <w:rsid w:val="009F2810"/>
    <w:rsid w:val="009F7EED"/>
    <w:rsid w:val="00A00A66"/>
    <w:rsid w:val="00A03AB0"/>
    <w:rsid w:val="00A03B2A"/>
    <w:rsid w:val="00A10908"/>
    <w:rsid w:val="00A24D4B"/>
    <w:rsid w:val="00A324D5"/>
    <w:rsid w:val="00A4056D"/>
    <w:rsid w:val="00A40FE6"/>
    <w:rsid w:val="00A42B11"/>
    <w:rsid w:val="00A521F0"/>
    <w:rsid w:val="00A56733"/>
    <w:rsid w:val="00A74E10"/>
    <w:rsid w:val="00A80636"/>
    <w:rsid w:val="00A856B9"/>
    <w:rsid w:val="00A85E35"/>
    <w:rsid w:val="00A87338"/>
    <w:rsid w:val="00A92316"/>
    <w:rsid w:val="00A92400"/>
    <w:rsid w:val="00AB0E26"/>
    <w:rsid w:val="00AB4939"/>
    <w:rsid w:val="00AB6A85"/>
    <w:rsid w:val="00AC2FE4"/>
    <w:rsid w:val="00AC505A"/>
    <w:rsid w:val="00AC73E8"/>
    <w:rsid w:val="00AC7D83"/>
    <w:rsid w:val="00AD4BDC"/>
    <w:rsid w:val="00AE06F2"/>
    <w:rsid w:val="00AE313E"/>
    <w:rsid w:val="00AE46F3"/>
    <w:rsid w:val="00AF0AAB"/>
    <w:rsid w:val="00AF0CE4"/>
    <w:rsid w:val="00AF4C80"/>
    <w:rsid w:val="00AF7608"/>
    <w:rsid w:val="00B06469"/>
    <w:rsid w:val="00B2731A"/>
    <w:rsid w:val="00B36B10"/>
    <w:rsid w:val="00B36E58"/>
    <w:rsid w:val="00B45443"/>
    <w:rsid w:val="00B47769"/>
    <w:rsid w:val="00B53542"/>
    <w:rsid w:val="00B56F9E"/>
    <w:rsid w:val="00B601B2"/>
    <w:rsid w:val="00B64967"/>
    <w:rsid w:val="00B75062"/>
    <w:rsid w:val="00B77D23"/>
    <w:rsid w:val="00B82B02"/>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315A5"/>
    <w:rsid w:val="00C36056"/>
    <w:rsid w:val="00C407A4"/>
    <w:rsid w:val="00C40D2F"/>
    <w:rsid w:val="00C51A36"/>
    <w:rsid w:val="00C55101"/>
    <w:rsid w:val="00C55228"/>
    <w:rsid w:val="00C63768"/>
    <w:rsid w:val="00C658AB"/>
    <w:rsid w:val="00C72A05"/>
    <w:rsid w:val="00C7514B"/>
    <w:rsid w:val="00C77034"/>
    <w:rsid w:val="00C84BCA"/>
    <w:rsid w:val="00C95618"/>
    <w:rsid w:val="00CB4775"/>
    <w:rsid w:val="00CB5105"/>
    <w:rsid w:val="00CC5FC1"/>
    <w:rsid w:val="00CD31FD"/>
    <w:rsid w:val="00CD44C4"/>
    <w:rsid w:val="00CD6A70"/>
    <w:rsid w:val="00CE315A"/>
    <w:rsid w:val="00CE4CD2"/>
    <w:rsid w:val="00D06F59"/>
    <w:rsid w:val="00D06F9E"/>
    <w:rsid w:val="00D128EF"/>
    <w:rsid w:val="00D20FDD"/>
    <w:rsid w:val="00D21766"/>
    <w:rsid w:val="00D21A23"/>
    <w:rsid w:val="00D37B74"/>
    <w:rsid w:val="00D511D8"/>
    <w:rsid w:val="00D51BC9"/>
    <w:rsid w:val="00D523F5"/>
    <w:rsid w:val="00D5750A"/>
    <w:rsid w:val="00D60569"/>
    <w:rsid w:val="00D638E6"/>
    <w:rsid w:val="00D64586"/>
    <w:rsid w:val="00D72DE7"/>
    <w:rsid w:val="00D75D59"/>
    <w:rsid w:val="00D8388C"/>
    <w:rsid w:val="00D8474B"/>
    <w:rsid w:val="00D9320B"/>
    <w:rsid w:val="00D94F09"/>
    <w:rsid w:val="00DB0A8F"/>
    <w:rsid w:val="00DB60AD"/>
    <w:rsid w:val="00DB6A55"/>
    <w:rsid w:val="00DB7E69"/>
    <w:rsid w:val="00DC6312"/>
    <w:rsid w:val="00DD33DB"/>
    <w:rsid w:val="00DD429E"/>
    <w:rsid w:val="00DE28CC"/>
    <w:rsid w:val="00DE4D6D"/>
    <w:rsid w:val="00DE595B"/>
    <w:rsid w:val="00DF1100"/>
    <w:rsid w:val="00E10A4B"/>
    <w:rsid w:val="00E113CA"/>
    <w:rsid w:val="00E12658"/>
    <w:rsid w:val="00E16D3B"/>
    <w:rsid w:val="00E20F46"/>
    <w:rsid w:val="00E23BC1"/>
    <w:rsid w:val="00E261AE"/>
    <w:rsid w:val="00E348B3"/>
    <w:rsid w:val="00E361DE"/>
    <w:rsid w:val="00E402CD"/>
    <w:rsid w:val="00E43FFD"/>
    <w:rsid w:val="00E46E99"/>
    <w:rsid w:val="00E6224C"/>
    <w:rsid w:val="00E63724"/>
    <w:rsid w:val="00E67366"/>
    <w:rsid w:val="00E7240B"/>
    <w:rsid w:val="00E7379E"/>
    <w:rsid w:val="00E73DD8"/>
    <w:rsid w:val="00E92F55"/>
    <w:rsid w:val="00EA0B69"/>
    <w:rsid w:val="00EA37D1"/>
    <w:rsid w:val="00EB0164"/>
    <w:rsid w:val="00EB1C22"/>
    <w:rsid w:val="00EB3D2A"/>
    <w:rsid w:val="00EB5592"/>
    <w:rsid w:val="00EC3BAF"/>
    <w:rsid w:val="00EC4987"/>
    <w:rsid w:val="00EC53EC"/>
    <w:rsid w:val="00ED0F62"/>
    <w:rsid w:val="00ED3D99"/>
    <w:rsid w:val="00ED6A4D"/>
    <w:rsid w:val="00EE1DBC"/>
    <w:rsid w:val="00EE4C2D"/>
    <w:rsid w:val="00EE68A8"/>
    <w:rsid w:val="00EF1DE1"/>
    <w:rsid w:val="00EF246D"/>
    <w:rsid w:val="00EF749E"/>
    <w:rsid w:val="00F066F7"/>
    <w:rsid w:val="00F1520A"/>
    <w:rsid w:val="00F155A7"/>
    <w:rsid w:val="00F15BC0"/>
    <w:rsid w:val="00F15D64"/>
    <w:rsid w:val="00F160DF"/>
    <w:rsid w:val="00F20015"/>
    <w:rsid w:val="00F21087"/>
    <w:rsid w:val="00F314DF"/>
    <w:rsid w:val="00F35254"/>
    <w:rsid w:val="00F37CB8"/>
    <w:rsid w:val="00F400F4"/>
    <w:rsid w:val="00F4354E"/>
    <w:rsid w:val="00F4538A"/>
    <w:rsid w:val="00F51DFC"/>
    <w:rsid w:val="00F6347C"/>
    <w:rsid w:val="00F74A85"/>
    <w:rsid w:val="00F82A5B"/>
    <w:rsid w:val="00F85D84"/>
    <w:rsid w:val="00F869EB"/>
    <w:rsid w:val="00F90598"/>
    <w:rsid w:val="00F97689"/>
    <w:rsid w:val="00F97A10"/>
    <w:rsid w:val="00FA1D61"/>
    <w:rsid w:val="00FA6979"/>
    <w:rsid w:val="00FA6D2C"/>
    <w:rsid w:val="00FA7AE7"/>
    <w:rsid w:val="00FB0156"/>
    <w:rsid w:val="00FB10C6"/>
    <w:rsid w:val="00FB7865"/>
    <w:rsid w:val="00FC0497"/>
    <w:rsid w:val="00FC47BD"/>
    <w:rsid w:val="00FD631E"/>
    <w:rsid w:val="00FD662D"/>
    <w:rsid w:val="00FE0DBA"/>
    <w:rsid w:val="00FE46BD"/>
    <w:rsid w:val="00FE4EEF"/>
    <w:rsid w:val="00FE7093"/>
    <w:rsid w:val="00FE7902"/>
    <w:rsid w:val="00FE7B89"/>
    <w:rsid w:val="00FF33C4"/>
    <w:rsid w:val="01260C71"/>
    <w:rsid w:val="012849EF"/>
    <w:rsid w:val="012B17F5"/>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198E"/>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7D54F9"/>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92B95"/>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31A17"/>
    <w:rsid w:val="1ACE3514"/>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227DF"/>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6F39D7"/>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A87F0A"/>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6631B3"/>
    <w:rsid w:val="39812AB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82BDD"/>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A32D2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2D6B0C"/>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946CF"/>
    <w:rsid w:val="4E6C5E44"/>
    <w:rsid w:val="4E732061"/>
    <w:rsid w:val="4E7774D0"/>
    <w:rsid w:val="4EAA463D"/>
    <w:rsid w:val="4EDD49AF"/>
    <w:rsid w:val="4F594843"/>
    <w:rsid w:val="4F88590D"/>
    <w:rsid w:val="4FBD5987"/>
    <w:rsid w:val="4FCB0E76"/>
    <w:rsid w:val="4FED1336"/>
    <w:rsid w:val="50207323"/>
    <w:rsid w:val="503C3BCC"/>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2A74D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333BD"/>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27505C"/>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B37EDF"/>
    <w:rsid w:val="6DE309B5"/>
    <w:rsid w:val="6E560F06"/>
    <w:rsid w:val="6E641038"/>
    <w:rsid w:val="6E73666A"/>
    <w:rsid w:val="6E770EFC"/>
    <w:rsid w:val="6E79212F"/>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59146E"/>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4E7F1C"/>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792540"/>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eastAsia="宋体"/>
      <w:sz w:val="20"/>
      <w:szCs w:val="20"/>
    </w:rPr>
  </w:style>
  <w:style w:type="paragraph" w:styleId="4">
    <w:name w:val="annotation text"/>
    <w:basedOn w:val="1"/>
    <w:link w:val="23"/>
    <w:semiHidden/>
    <w:unhideWhenUsed/>
    <w:qFormat/>
    <w:uiPriority w:val="99"/>
    <w:pPr>
      <w:jc w:val="left"/>
    </w:p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paragraph" w:styleId="10">
    <w:name w:val="annotation subject"/>
    <w:basedOn w:val="4"/>
    <w:next w:val="4"/>
    <w:link w:val="24"/>
    <w:semiHidden/>
    <w:unhideWhenUsed/>
    <w:qFormat/>
    <w:uiPriority w:val="99"/>
    <w:rPr>
      <w:b/>
      <w:bCs/>
    </w:rPr>
  </w:style>
  <w:style w:type="paragraph" w:styleId="11">
    <w:name w:val="Body Text First Indent 2"/>
    <w:basedOn w:val="5"/>
    <w:unhideWhenUsed/>
    <w:qFormat/>
    <w:uiPriority w:val="99"/>
    <w:pPr>
      <w:tabs>
        <w:tab w:val="left" w:pos="540"/>
      </w:tabs>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8"/>
    <w:qFormat/>
    <w:uiPriority w:val="99"/>
    <w:rPr>
      <w:rFonts w:ascii="Times New Roman" w:hAnsi="Times New Roman" w:eastAsia="宋体" w:cs="Times New Roman"/>
      <w:sz w:val="18"/>
      <w:szCs w:val="18"/>
    </w:rPr>
  </w:style>
  <w:style w:type="character" w:customStyle="1" w:styleId="17">
    <w:name w:val="页脚 字符"/>
    <w:basedOn w:val="14"/>
    <w:link w:val="7"/>
    <w:qFormat/>
    <w:uiPriority w:val="99"/>
    <w:rPr>
      <w:rFonts w:ascii="Times New Roman" w:hAnsi="Times New Roman" w:eastAsia="宋体" w:cs="Times New Roman"/>
      <w:sz w:val="18"/>
      <w:szCs w:val="18"/>
    </w:rPr>
  </w:style>
  <w:style w:type="character" w:customStyle="1" w:styleId="18">
    <w:name w:val="批注框文本 字符"/>
    <w:basedOn w:val="14"/>
    <w:link w:val="6"/>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text|1"/>
    <w:basedOn w:val="1"/>
    <w:qFormat/>
    <w:uiPriority w:val="0"/>
    <w:pPr>
      <w:spacing w:after="80"/>
    </w:pPr>
    <w:rPr>
      <w:rFonts w:ascii="MingLiU" w:hAnsi="MingLiU" w:eastAsia="MingLiU" w:cs="MingLiU"/>
      <w:sz w:val="20"/>
      <w:lang w:val="zh-TW" w:eastAsia="zh-TW" w:bidi="zh-TW"/>
    </w:rPr>
  </w:style>
  <w:style w:type="paragraph" w:customStyle="1" w:styleId="21">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2">
    <w:name w:val="List Paragraph"/>
    <w:basedOn w:val="1"/>
    <w:qFormat/>
    <w:uiPriority w:val="99"/>
    <w:pPr>
      <w:ind w:firstLine="420" w:firstLineChars="200"/>
    </w:pPr>
  </w:style>
  <w:style w:type="character" w:customStyle="1" w:styleId="23">
    <w:name w:val="批注文字 字符"/>
    <w:basedOn w:val="14"/>
    <w:link w:val="4"/>
    <w:semiHidden/>
    <w:qFormat/>
    <w:uiPriority w:val="99"/>
    <w:rPr>
      <w:kern w:val="2"/>
      <w:sz w:val="21"/>
    </w:rPr>
  </w:style>
  <w:style w:type="character" w:customStyle="1" w:styleId="24">
    <w:name w:val="批注主题 字符"/>
    <w:basedOn w:val="23"/>
    <w:link w:val="10"/>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93ADF-5842-4D98-A73C-34F370B8DB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2048</Words>
  <Characters>11677</Characters>
  <Lines>97</Lines>
  <Paragraphs>27</Paragraphs>
  <TotalTime>1</TotalTime>
  <ScaleCrop>false</ScaleCrop>
  <LinksUpToDate>false</LinksUpToDate>
  <CharactersWithSpaces>13698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2021-03-10T09:57:00Z</dcterms:created>
  <dc:creator>微软用户</dc:creator>
  <cp:lastModifiedBy>肖新龙</cp:lastModifiedBy>
  <dcterms:modified xsi:type="dcterms:W3CDTF">2021-08-31T08:59:07Z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64852FA3FEDF4F71AAFA67ED25A1739C</vt:lpwstr>
  </property>
</Properties>
</file>