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品管部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负责人：贾正武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薛海峰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核员：肖新龙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8-24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审核条款：FSMS:</w:t>
            </w:r>
            <w:r>
              <w:rPr>
                <w:kern w:val="0"/>
                <w:sz w:val="21"/>
                <w:szCs w:val="21"/>
              </w:rPr>
              <w:t>5.3/6.2/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8.2/</w:t>
            </w:r>
            <w:r>
              <w:rPr>
                <w:kern w:val="0"/>
                <w:sz w:val="21"/>
                <w:szCs w:val="21"/>
              </w:rPr>
              <w:t>8.5</w:t>
            </w:r>
            <w:r>
              <w:rPr>
                <w:rFonts w:hint="eastAsia"/>
                <w:kern w:val="0"/>
                <w:sz w:val="21"/>
                <w:szCs w:val="21"/>
              </w:rPr>
              <w:t>.4.5</w:t>
            </w:r>
            <w:r>
              <w:rPr>
                <w:kern w:val="0"/>
                <w:sz w:val="21"/>
                <w:szCs w:val="21"/>
              </w:rPr>
              <w:t>/8.7/</w:t>
            </w:r>
            <w:r>
              <w:rPr>
                <w:rFonts w:hint="eastAsia"/>
                <w:kern w:val="0"/>
                <w:sz w:val="21"/>
                <w:szCs w:val="21"/>
              </w:rPr>
              <w:t>8.8/</w:t>
            </w:r>
            <w:r>
              <w:rPr>
                <w:kern w:val="0"/>
                <w:sz w:val="21"/>
                <w:szCs w:val="21"/>
              </w:rPr>
              <w:t>8.9.1-8.9.4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主要负责</w:t>
            </w:r>
            <w:r>
              <w:rPr>
                <w:rFonts w:hint="eastAsia"/>
                <w:highlight w:val="none"/>
                <w:lang w:val="en-US" w:eastAsia="zh-CN"/>
              </w:rPr>
              <w:t>原辅料验收、进货验证、生产过程监控检查、成品出厂检验，</w:t>
            </w:r>
            <w:r>
              <w:rPr>
                <w:rFonts w:hint="eastAsia"/>
                <w:highlight w:val="none"/>
              </w:rPr>
              <w:t>计量器具的管理、</w:t>
            </w:r>
            <w:r>
              <w:rPr>
                <w:rFonts w:hint="eastAsia"/>
                <w:highlight w:val="none"/>
                <w:lang w:val="en-US" w:eastAsia="zh-CN"/>
              </w:rPr>
              <w:t>参与</w:t>
            </w:r>
            <w:r>
              <w:rPr>
                <w:rFonts w:hint="eastAsia"/>
                <w:highlight w:val="none"/>
              </w:rPr>
              <w:t>追溯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产品召回、不安全产品处置、</w:t>
            </w:r>
            <w:r>
              <w:rPr>
                <w:rFonts w:hint="eastAsia"/>
                <w:highlight w:val="none"/>
                <w:lang w:val="en-US" w:eastAsia="zh-CN"/>
              </w:rPr>
              <w:t>参与</w:t>
            </w:r>
            <w:r>
              <w:rPr>
                <w:rFonts w:hint="eastAsia"/>
                <w:highlight w:val="none"/>
              </w:rPr>
              <w:t>投诉处理、危害控制计划的实施等工作。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</w:t>
            </w:r>
            <w:r>
              <w:rPr>
                <w:rFonts w:hint="eastAsia"/>
              </w:rPr>
              <w:t>品安全目标分解考核表》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2021.03-2021.06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原材料验证率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4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品管部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成品检测率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品管部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检测设备校准率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品管部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420" w:firstLineChars="20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产品质量统计率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品管部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</w:t>
            </w:r>
            <w:r>
              <w:t>02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目标已完成，抽查2021年</w:t>
            </w:r>
            <w:r>
              <w:rPr>
                <w:rFonts w:hint="eastAsia"/>
              </w:rPr>
              <w:t>第二季度</w:t>
            </w:r>
            <w:r>
              <w:rPr>
                <w:rFonts w:hint="eastAsia"/>
                <w:lang w:val="en-US" w:eastAsia="zh-CN"/>
              </w:rPr>
              <w:t>已完成，目标在实施中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涉及本部门的</w:t>
            </w:r>
            <w:r>
              <w:rPr>
                <w:rFonts w:hint="eastAsia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50"/>
              <w:gridCol w:w="2820"/>
              <w:gridCol w:w="1290"/>
              <w:gridCol w:w="2180"/>
              <w:gridCol w:w="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sz w:val="21"/>
                      <w:szCs w:val="21"/>
                      <w:highlight w:val="none"/>
                    </w:rPr>
                    <w:t>OPRP1-1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香辛料验收（花椒类辣椒类除外）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原料库</w:t>
                  </w:r>
                </w:p>
              </w:tc>
              <w:tc>
                <w:tcPr>
                  <w:tcW w:w="2820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kern w:val="0"/>
                      <w:sz w:val="21"/>
                      <w:szCs w:val="21"/>
                      <w:highlight w:val="none"/>
                      <w:lang w:bidi="ar"/>
                    </w:rPr>
                    <w:t>签订原料供应商合作协议，明确水分、铅指标等质量/食品安全条款；</w:t>
                  </w:r>
                  <w:r>
                    <w:rPr>
                      <w:rFonts w:hint="eastAsia" w:cs="宋体"/>
                      <w:bCs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2. 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bidi="ar"/>
                    </w:rPr>
                    <w:t>产品采购自合格供方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 w:bidi="ar"/>
                    </w:rPr>
                    <w:t>；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3. 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每批次产品检测水分、铅、</w:t>
                  </w:r>
                  <w:r>
                    <w:rPr>
                      <w:rFonts w:hint="eastAsia" w:cs="宋体"/>
                      <w:bCs/>
                      <w:kern w:val="0"/>
                      <w:sz w:val="21"/>
                      <w:szCs w:val="21"/>
                      <w:highlight w:val="none"/>
                      <w:lang w:bidi="ar"/>
                    </w:rPr>
                    <w:t>罗丹明B、苏丹红I-IV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1.2.条款见采购部审核记录；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提供有《原辅料进货查验记录表》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eastAsia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 xml:space="preserve">抽查2021-07-22 八角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进货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原辅料进货查验记录表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》，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验收结果：合格；操作限值1.2 涉及证据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见“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采购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部审核记录”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sz w:val="21"/>
                      <w:szCs w:val="21"/>
                      <w:highlight w:val="none"/>
                    </w:rPr>
                    <w:t>OPRP1-2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香辛料验收（花椒类辣椒类）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ind w:left="-59" w:leftChars="-28" w:right="-113" w:rightChars="-54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原料库</w:t>
                  </w:r>
                </w:p>
              </w:tc>
              <w:tc>
                <w:tcPr>
                  <w:tcW w:w="2820" w:type="dxa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kern w:val="0"/>
                      <w:sz w:val="21"/>
                      <w:szCs w:val="21"/>
                      <w:highlight w:val="none"/>
                      <w:lang w:bidi="ar"/>
                    </w:rPr>
                    <w:t>签订原料供应商合作协议，明确水分、铅指标等质量/食品安全条款；</w:t>
                  </w:r>
                  <w:r>
                    <w:rPr>
                      <w:rFonts w:hint="eastAsia" w:cs="宋体"/>
                      <w:bCs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bidi="ar"/>
                    </w:rPr>
                    <w:t>产品采购自合格供方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 w:bidi="ar"/>
                    </w:rPr>
                    <w:t>；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 w:bidi="ar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每批次产品检测水分、铅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1.2.条款见采购部审核记录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提供有《原辅料进货查验记录表》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抽查2021-08-05进货野山椒、红辣椒的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原辅料进货查验记录表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》，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验收结果：合格；操作限值1.2 涉及证据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见“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采购</w:t>
                  </w:r>
                  <w:r>
                    <w:rPr>
                      <w:rFonts w:hint="eastAsia" w:ascii="Times New Roman" w:hAnsi="Times New Roman" w:eastAsia="宋体" w:cs="Times New Roman"/>
                      <w:highlight w:val="none"/>
                      <w:lang w:val="en-US" w:eastAsia="zh-CN"/>
                    </w:rPr>
                    <w:t>部审核记录”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</w:tbl>
          <w:p>
            <w:pPr>
              <w:pStyle w:val="4"/>
              <w:rPr>
                <w:rFonts w:hint="eastAsia"/>
              </w:rPr>
            </w:pPr>
          </w:p>
          <w:p/>
        </w:tc>
        <w:tc>
          <w:tcPr>
            <w:tcW w:w="1593" w:type="dxa"/>
            <w:gridSpan w:val="3"/>
            <w:vMerge w:val="continue"/>
            <w:shd w:val="clear" w:color="auto" w:fill="auto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>
            <w:pPr>
              <w:pStyle w:val="9"/>
            </w:pPr>
          </w:p>
          <w:p>
            <w:pPr>
              <w:pStyle w:val="9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其他—农残检测仪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其他——手持红外测温仪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2370"/>
              <w:gridCol w:w="1777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70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77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天子天平</w:t>
                  </w:r>
                </w:p>
              </w:tc>
              <w:tc>
                <w:tcPr>
                  <w:tcW w:w="2370" w:type="dxa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第LX20210608131号</w:t>
                  </w:r>
                </w:p>
              </w:tc>
              <w:tc>
                <w:tcPr>
                  <w:tcW w:w="177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天子天平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第LX20210608132号</w:t>
                  </w:r>
                </w:p>
              </w:tc>
              <w:tc>
                <w:tcPr>
                  <w:tcW w:w="177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干燥箱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第LX20210608134号</w:t>
                  </w:r>
                </w:p>
              </w:tc>
              <w:tc>
                <w:tcPr>
                  <w:tcW w:w="177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</w:t>
                  </w:r>
                  <w:r>
                    <w:rPr>
                      <w:rFonts w:hint="eastAsia"/>
                      <w:lang w:val="en-US" w:eastAsia="zh-CN"/>
                    </w:rPr>
                    <w:t>车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37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2021JD03816</w:t>
                  </w:r>
                </w:p>
              </w:tc>
              <w:tc>
                <w:tcPr>
                  <w:tcW w:w="177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2022-06-07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</w:t>
                  </w:r>
                  <w:r>
                    <w:rPr>
                      <w:rFonts w:hint="eastAsia"/>
                      <w:lang w:val="en-US" w:eastAsia="zh-CN"/>
                    </w:rPr>
                    <w:t>车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2021JD03808</w:t>
                  </w:r>
                </w:p>
              </w:tc>
              <w:tc>
                <w:tcPr>
                  <w:tcW w:w="177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2022-06-07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</w:t>
                  </w:r>
                  <w:r>
                    <w:rPr>
                      <w:rFonts w:hint="eastAsia"/>
                      <w:lang w:val="en-US" w:eastAsia="zh-CN"/>
                    </w:rPr>
                    <w:t>车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手持式红外测温仪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AR320</w:t>
                  </w:r>
                </w:p>
              </w:tc>
              <w:tc>
                <w:tcPr>
                  <w:tcW w:w="1777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未提供检定/校准报告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</w:t>
                  </w:r>
                  <w:r>
                    <w:rPr>
                      <w:rFonts w:hint="eastAsia"/>
                      <w:lang w:val="en-US" w:eastAsia="zh-CN"/>
                    </w:rPr>
                    <w:t>车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717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387"/>
              <w:gridCol w:w="2470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安全防护检查表</w:t>
            </w:r>
            <w:r>
              <w:rPr>
                <w:rFonts w:hint="eastAsia"/>
                <w:u w:val="single"/>
              </w:rPr>
              <w:t xml:space="preserve">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根据产品特性，作业环境主要以清洁消毒为主，提供有《安防护检查表》，每周1次；提供有《车间消毒记录表》，每天进行1次，内包间采紫外线进行消杀处理，每班次结束后进行。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 xml:space="preserve">生产用水检测报告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7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1955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生产用水检测单位：安徽国科检测科技有限公司，检测报告编号：</w:t>
            </w:r>
            <w:r>
              <w:rPr>
                <w:rFonts w:hint="eastAsia" w:ascii="宋体" w:hAnsi="宋体"/>
                <w:szCs w:val="21"/>
              </w:rPr>
              <w:t>GKHJ20120139SZ001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报告日期：2021-12-30；检测项目：总大肠菌群、菌落总数、重金属、PH等指标；检测结果：合格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手册8.8条款、</w:t>
            </w:r>
          </w:p>
        </w:tc>
        <w:tc>
          <w:tcPr>
            <w:tcW w:w="1591" w:type="dxa"/>
            <w:gridSpan w:val="2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1157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抽查检测报告编号: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YA132 103FD02225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安徽国科检测技术有限公司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1-04-06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辣椒粉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default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Q/ALYT0001S-2021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水分、铅、</w:t>
            </w:r>
            <w:r>
              <w:rPr>
                <w:rFonts w:hint="eastAsia" w:cs="宋体"/>
                <w:bCs/>
                <w:kern w:val="0"/>
                <w:szCs w:val="21"/>
                <w:u w:val="single"/>
                <w:lang w:bidi="ar"/>
              </w:rPr>
              <w:t>罗丹明B、苏丹红I-IV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符合要求   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抽查检测报告编号: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YA132103FD02227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安徽国科检测技术有限公司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1-04-06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花椒粉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default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Q/ALYT0001S-2021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水分、铅、</w:t>
            </w:r>
            <w:r>
              <w:rPr>
                <w:rFonts w:hint="eastAsia" w:cs="宋体"/>
                <w:bCs/>
                <w:kern w:val="0"/>
                <w:szCs w:val="21"/>
                <w:u w:val="single"/>
                <w:lang w:bidi="ar"/>
              </w:rPr>
              <w:t>罗丹明B、苏丹红I-IV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符合要求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抽查检测报告编号: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YA132103FD02223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安徽国科检测技术有限公司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1-04-06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白芷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default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Q/ALYT0001S-2021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水分、铅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符合要求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同时抽查了：桂皮检测报告：YA 132103FD02212（报告日期2021-04-06）、 八角检测报告编号：YA132103FD02211（报告日期2021-04-06），结论同白芷，符合要求。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</w:tc>
        <w:tc>
          <w:tcPr>
            <w:tcW w:w="1591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val="en-US" w:eastAsia="zh-CN"/>
              </w:rPr>
              <w:t>《不合格品管理制度》</w:t>
            </w:r>
          </w:p>
          <w:p/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val="en-US" w:eastAsia="zh-CN"/>
              </w:rPr>
              <w:t>《不合格品管理制度》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val="en-US" w:eastAsia="zh-CN"/>
              </w:rPr>
              <w:t>《不合格品管理制度》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 xml:space="preserve">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val="en-US" w:eastAsia="zh-CN"/>
              </w:rPr>
              <w:t>《不合格品管理制度》、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val="en-US" w:eastAsia="zh-CN"/>
              </w:rPr>
              <w:t>《出厂检验记录管理制度》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>
            <w:bookmarkStart w:id="0" w:name="_GoBack"/>
            <w:bookmarkEnd w:id="0"/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按照进货量20%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感官检查、水分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内包材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抽取5件，随机取100只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索证、尺寸、厚度、重量、感官、气密性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过程巡检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感官、净含量等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每托盘抽取6件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感官、水分、净含量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原料检验报告、原辅料进货查验记录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C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2021-08-05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野山椒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按照进货量20%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感官、水分≤14%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新鲜，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无霉变；色泽、滋气味正常，水分：13.1%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2021-07-22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八角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按照进货量20%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感官、水分≤14%</w:t>
                  </w:r>
                </w:p>
              </w:tc>
              <w:tc>
                <w:tcPr>
                  <w:tcW w:w="18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新鲜，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无霉变；色泽、滋气味正常，水分：13.3%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2021-08-05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朝天椒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按照进货量20%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感官、水分≤14%</w:t>
                  </w:r>
                </w:p>
              </w:tc>
              <w:tc>
                <w:tcPr>
                  <w:tcW w:w="18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新鲜，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无霉变；色泽、滋气味正常，水分：13.0%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202-108-09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透明复合拉链立袋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抽取5件，随机取100只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尺寸13.0*20.0+4cm、厚度:10s、密封性试验</w:t>
                  </w:r>
                </w:p>
              </w:tc>
              <w:tc>
                <w:tcPr>
                  <w:tcW w:w="1844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尺寸：13.2*20.2+4cm；厚度：10s、密封性完好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车间巡检记录表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野山椒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首批检验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感官、净含量、环境卫生、合格证等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桂皮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首批检验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感官、净含量、环境卫生、合格证等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202-108-19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五香粉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首批检验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感官、净含量、环境卫生、合格证等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2021-08-16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辣椒粉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首批检验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感官、净含量、环境卫生、合格证等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成品检验报告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辣椒粉/2021052702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水分≤14%、滋味、气味、色泽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水分≤12.3%、滋味、气味、色泽正常；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野山椒/2021080501</w:t>
                  </w:r>
                </w:p>
              </w:tc>
              <w:tc>
                <w:tcPr>
                  <w:tcW w:w="11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水分≤14%、滋味、气味、色泽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水分≤13.1%、滋味、气味、色泽正常；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2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不涉及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由于成品/服务放行的监视设备满足要求且完好 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不符合、纠正措施和预防措施控制程序》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近一年以来未发生</w:t>
            </w:r>
            <w:r>
              <w:rPr>
                <w:rFonts w:hint="eastAsia"/>
                <w:u w:val="single"/>
              </w:rPr>
              <w:t xml:space="preserve">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近一年以来未发生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近一年以来未发生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近一年以来未发生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1790"/>
              <w:gridCol w:w="3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近一年以来未发生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F91812"/>
    <w:multiLevelType w:val="singleLevel"/>
    <w:tmpl w:val="B6F9181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A35016"/>
    <w:multiLevelType w:val="singleLevel"/>
    <w:tmpl w:val="ECA3501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5</TotalTime>
  <ScaleCrop>false</ScaleCrop>
  <LinksUpToDate>false</LinksUpToDate>
  <CharactersWithSpaces>12771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2021-08-28T00:57:57Z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3A501C3A10A1489A92E59ED269764121</vt:lpwstr>
  </property>
</Properties>
</file>