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宋体" w:hAnsi="宋体"/>
          <w:sz w:val="32"/>
          <w:lang w:val="en-US" w:eastAsia="zh-CN"/>
        </w:rPr>
        <w:t xml:space="preserve"> </w:t>
      </w:r>
      <w:r>
        <w:rPr>
          <w:rFonts w:hint="eastAsia" w:ascii="MS PGothic" w:hAnsi="MS PGothic"/>
          <w:sz w:val="32"/>
        </w:rPr>
        <w:t>：</w:t>
      </w:r>
      <w:bookmarkStart w:id="1" w:name="组织名称"/>
      <w:r>
        <w:rPr>
          <w:rFonts w:ascii="宋体" w:hAnsi="宋体"/>
          <w:b/>
          <w:bCs/>
          <w:sz w:val="30"/>
          <w:szCs w:val="30"/>
          <w:u w:val="single"/>
        </w:rPr>
        <w:t>安徽顺彤包装材料有限公司</w:t>
      </w:r>
      <w:bookmarkEnd w:id="1"/>
    </w:p>
    <w:p>
      <w:pPr>
        <w:spacing w:line="360" w:lineRule="auto"/>
        <w:jc w:val="left"/>
        <w:rPr>
          <w:rFonts w:hint="default"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0140-2020-2021</w:t>
      </w:r>
      <w:bookmarkEnd w:id="2"/>
      <w:r>
        <w:rPr>
          <w:rFonts w:hint="eastAsia" w:ascii="宋体" w:hAnsi="宋体"/>
          <w:sz w:val="32"/>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0140-2020-2021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安徽顺彤包装材料有限公司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朱熠辉</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ISC-2020-0784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2025-08-24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一</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2021年0</w:t>
            </w:r>
            <w:r>
              <w:rPr>
                <w:rFonts w:hint="eastAsia" w:cs="宋体" w:asciiTheme="minorEastAsia" w:hAnsiTheme="minorEastAsia"/>
                <w:kern w:val="0"/>
                <w:szCs w:val="21"/>
                <w:lang w:val="en-US" w:eastAsia="zh-CN"/>
              </w:rPr>
              <w:t>9</w:t>
            </w:r>
            <w:r>
              <w:rPr>
                <w:rFonts w:cs="宋体" w:asciiTheme="minorEastAsia" w:hAnsiTheme="minorEastAsia"/>
                <w:kern w:val="0"/>
                <w:szCs w:val="21"/>
              </w:rPr>
              <w:t>月</w:t>
            </w:r>
            <w:r>
              <w:rPr>
                <w:rFonts w:hint="eastAsia" w:cs="宋体" w:asciiTheme="minorEastAsia" w:hAnsiTheme="minorEastAsia"/>
                <w:kern w:val="0"/>
                <w:szCs w:val="21"/>
                <w:lang w:val="en-US" w:eastAsia="zh-CN"/>
              </w:rPr>
              <w:t>1</w:t>
            </w:r>
            <w:r>
              <w:rPr>
                <w:rFonts w:cs="宋体" w:asciiTheme="minorEastAsia" w:hAnsiTheme="minorEastAsia"/>
                <w:kern w:val="0"/>
                <w:szCs w:val="21"/>
              </w:rPr>
              <w:t>3日</w:t>
            </w:r>
            <w:r>
              <w:rPr>
                <w:rFonts w:hint="eastAsia" w:cs="宋体" w:asciiTheme="minorEastAsia" w:hAnsiTheme="minorEastAsia"/>
                <w:kern w:val="0"/>
                <w:szCs w:val="21"/>
                <w:lang w:val="en-US" w:eastAsia="zh-CN"/>
              </w:rPr>
              <w:t>上午至09月14日</w:t>
            </w:r>
            <w:r>
              <w:rPr>
                <w:rFonts w:cs="宋体" w:asciiTheme="minorEastAsia" w:hAnsiTheme="minorEastAsia"/>
                <w:kern w:val="0"/>
                <w:szCs w:val="21"/>
              </w:rPr>
              <w:t xml:space="preserve"> 上午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ascii="宋体" w:hAnsi="宋体"/>
                <w:szCs w:val="21"/>
              </w:rPr>
              <w:t>黄金荣</w:t>
            </w:r>
            <w:r>
              <w:rPr>
                <w:rFonts w:hint="eastAsia" w:ascii="宋体" w:hAnsi="宋体"/>
                <w:szCs w:val="21"/>
                <w:lang w:eastAsia="zh-CN"/>
              </w:rPr>
              <w:t>，</w:t>
            </w:r>
            <w:r>
              <w:rPr>
                <w:rFonts w:ascii="宋体" w:hAnsi="宋体"/>
                <w:color w:val="000000"/>
                <w:szCs w:val="21"/>
                <w:shd w:val="clear" w:color="auto" w:fill="auto"/>
              </w:rPr>
              <w:t>2018-M1MMS-1227641</w:t>
            </w:r>
            <w:r>
              <w:rPr>
                <w:rFonts w:hint="eastAsia" w:ascii="宋体" w:hAnsi="宋体"/>
                <w:color w:val="000000"/>
                <w:szCs w:val="21"/>
                <w:shd w:val="clear" w:color="auto" w:fill="auto"/>
                <w:lang w:eastAsia="zh-CN"/>
              </w:rPr>
              <w:t>，</w:t>
            </w:r>
            <w:r>
              <w:rPr>
                <w:rFonts w:hint="eastAsia" w:ascii="宋体" w:hAnsi="宋体"/>
                <w:color w:val="000000"/>
                <w:szCs w:val="21"/>
              </w:rPr>
              <w:t>ISC[S]0062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eastAsia" w:ascii="宋体" w:hAnsi="宋体"/>
                <w:color w:val="auto"/>
                <w:szCs w:val="21"/>
                <w:lang w:val="en-US" w:eastAsia="zh-CN"/>
              </w:rPr>
              <w:t>管理者代表、品质部、设备部、营销部、采购部、生产部（生产车间）、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numPr>
          <w:ilvl w:val="0"/>
          <w:numId w:val="0"/>
        </w:numPr>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1.一年内违反法律法规或重大事故的情况：</w:t>
      </w:r>
    </w:p>
    <w:p>
      <w:pPr>
        <w:widowControl/>
        <w:numPr>
          <w:ilvl w:val="0"/>
          <w:numId w:val="0"/>
        </w:numPr>
        <w:spacing w:line="360" w:lineRule="auto"/>
        <w:ind w:firstLine="480" w:firstLineChars="20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一年来，公司日常运行中生产、经营、安全、及管理方面比去年都有很大提升，企业制定了多项生产管理文件、制度，测量管理体系理念更加深入人心，企业未有违反法律、法规问题和产品质量问题的投诉或重大质量事故发生。公司一年来重点做了以下工作：</w:t>
      </w:r>
    </w:p>
    <w:p>
      <w:pPr>
        <w:spacing w:line="360" w:lineRule="auto"/>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rPr>
        <w:t xml:space="preserve">1.1 </w:t>
      </w:r>
      <w:r>
        <w:rPr>
          <w:rFonts w:hint="eastAsia" w:asciiTheme="majorEastAsia" w:hAnsiTheme="majorEastAsia" w:eastAsiaTheme="majorEastAsia" w:cstheme="majorEastAsia"/>
          <w:bCs/>
          <w:color w:val="auto"/>
          <w:kern w:val="0"/>
          <w:sz w:val="24"/>
          <w:szCs w:val="24"/>
        </w:rPr>
        <w:t>公司测量管理体系</w:t>
      </w:r>
      <w:r>
        <w:rPr>
          <w:rFonts w:hint="eastAsia" w:asciiTheme="majorEastAsia" w:hAnsiTheme="majorEastAsia" w:eastAsiaTheme="majorEastAsia" w:cstheme="majorEastAsia"/>
          <w:bCs/>
          <w:color w:val="auto"/>
          <w:kern w:val="0"/>
          <w:sz w:val="24"/>
          <w:szCs w:val="24"/>
          <w:lang w:val="en-US" w:eastAsia="zh-CN"/>
        </w:rPr>
        <w:t>通过</w:t>
      </w:r>
      <w:r>
        <w:rPr>
          <w:rFonts w:hint="eastAsia" w:asciiTheme="majorEastAsia" w:hAnsiTheme="majorEastAsia" w:eastAsiaTheme="majorEastAsia" w:cstheme="majorEastAsia"/>
          <w:bCs/>
          <w:color w:val="auto"/>
          <w:kern w:val="0"/>
          <w:sz w:val="24"/>
          <w:szCs w:val="24"/>
        </w:rPr>
        <w:t>认证后，</w:t>
      </w:r>
      <w:r>
        <w:rPr>
          <w:rFonts w:hint="eastAsia" w:ascii="宋体" w:hAnsi="宋体" w:eastAsia="宋体" w:cs="宋体"/>
          <w:bCs/>
          <w:color w:val="auto"/>
          <w:kern w:val="0"/>
          <w:sz w:val="24"/>
          <w:szCs w:val="24"/>
          <w:lang w:val="en-US" w:eastAsia="zh-CN"/>
        </w:rPr>
        <w:t>一年来企业</w:t>
      </w:r>
      <w:r>
        <w:rPr>
          <w:rFonts w:hint="eastAsia" w:ascii="宋体" w:hAnsi="宋体" w:eastAsia="宋体" w:cs="宋体"/>
          <w:bCs/>
          <w:color w:val="auto"/>
          <w:kern w:val="0"/>
          <w:sz w:val="24"/>
          <w:szCs w:val="24"/>
        </w:rPr>
        <w:t>重点</w:t>
      </w:r>
      <w:r>
        <w:rPr>
          <w:rFonts w:hint="eastAsia" w:ascii="宋体" w:hAnsi="宋体" w:eastAsia="宋体" w:cs="宋体"/>
          <w:bCs/>
          <w:color w:val="auto"/>
          <w:kern w:val="0"/>
          <w:sz w:val="24"/>
          <w:szCs w:val="24"/>
          <w:lang w:val="en-US" w:eastAsia="zh-CN"/>
        </w:rPr>
        <w:t>关注</w:t>
      </w:r>
      <w:r>
        <w:rPr>
          <w:rFonts w:hint="eastAsia" w:ascii="宋体" w:hAnsi="宋体" w:eastAsia="宋体" w:cs="宋体"/>
          <w:bCs/>
          <w:color w:val="auto"/>
          <w:kern w:val="0"/>
          <w:sz w:val="24"/>
          <w:szCs w:val="24"/>
        </w:rPr>
        <w:t>原材料检验、</w:t>
      </w:r>
      <w:r>
        <w:rPr>
          <w:rFonts w:hint="eastAsia" w:ascii="宋体" w:hAnsi="宋体" w:eastAsia="宋体" w:cs="宋体"/>
          <w:bCs/>
          <w:color w:val="auto"/>
          <w:kern w:val="0"/>
          <w:sz w:val="24"/>
          <w:szCs w:val="24"/>
          <w:lang w:val="en-US" w:eastAsia="zh-CN"/>
        </w:rPr>
        <w:t>生产过程检验和</w:t>
      </w:r>
      <w:r>
        <w:rPr>
          <w:rFonts w:hint="eastAsia" w:ascii="宋体" w:hAnsi="宋体" w:eastAsia="宋体" w:cs="宋体"/>
          <w:bCs/>
          <w:color w:val="auto"/>
          <w:kern w:val="0"/>
          <w:sz w:val="24"/>
          <w:szCs w:val="24"/>
        </w:rPr>
        <w:t>产品出厂检验等测量过程及测量设备量值溯源。</w:t>
      </w:r>
      <w:r>
        <w:rPr>
          <w:rFonts w:hint="eastAsia" w:ascii="宋体" w:hAnsi="宋体" w:eastAsia="宋体" w:cs="宋体"/>
          <w:bCs/>
          <w:color w:val="auto"/>
          <w:kern w:val="0"/>
          <w:sz w:val="24"/>
          <w:szCs w:val="24"/>
          <w:lang w:val="en-US" w:eastAsia="zh-CN"/>
        </w:rPr>
        <w:t>企业</w:t>
      </w:r>
      <w:r>
        <w:rPr>
          <w:rFonts w:hint="eastAsia" w:ascii="宋体" w:hAnsi="宋体" w:eastAsia="宋体" w:cs="宋体"/>
          <w:bCs/>
          <w:color w:val="auto"/>
          <w:kern w:val="0"/>
          <w:sz w:val="24"/>
          <w:szCs w:val="24"/>
        </w:rPr>
        <w:t>测量设备</w:t>
      </w:r>
      <w:r>
        <w:rPr>
          <w:rFonts w:hint="eastAsia" w:ascii="宋体" w:hAnsi="宋体" w:eastAsia="宋体" w:cs="宋体"/>
          <w:bCs/>
          <w:color w:val="auto"/>
          <w:kern w:val="0"/>
          <w:sz w:val="24"/>
          <w:szCs w:val="24"/>
          <w:lang w:val="en-US" w:eastAsia="zh-CN"/>
        </w:rPr>
        <w:t>按照检定/校准计划</w:t>
      </w:r>
      <w:r>
        <w:rPr>
          <w:rFonts w:hint="eastAsia" w:ascii="宋体" w:hAnsi="宋体" w:eastAsia="宋体" w:cs="宋体"/>
          <w:bCs/>
          <w:color w:val="auto"/>
          <w:kern w:val="0"/>
          <w:sz w:val="24"/>
          <w:szCs w:val="24"/>
        </w:rPr>
        <w:t>送到有资质的检定/校准机构检定/校准。</w:t>
      </w:r>
      <w:r>
        <w:rPr>
          <w:rFonts w:hint="eastAsia" w:ascii="宋体" w:hAnsi="宋体" w:eastAsia="宋体" w:cs="宋体"/>
          <w:bCs/>
          <w:color w:val="auto"/>
          <w:kern w:val="0"/>
          <w:sz w:val="24"/>
          <w:szCs w:val="24"/>
          <w:lang w:val="en-US" w:eastAsia="zh-CN"/>
        </w:rPr>
        <w:t>对校准后的测量设备进行验证。对关键测量过程进行</w:t>
      </w:r>
      <w:r>
        <w:rPr>
          <w:rFonts w:hint="eastAsia" w:ascii="宋体" w:hAnsi="宋体" w:eastAsia="宋体" w:cs="宋体"/>
          <w:bCs/>
          <w:color w:val="auto"/>
          <w:kern w:val="0"/>
          <w:sz w:val="24"/>
          <w:szCs w:val="24"/>
        </w:rPr>
        <w:t>不确定度评定、有效性确认</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对关键测量过程应用统计技术按照规定的监视周期进行</w:t>
      </w:r>
      <w:r>
        <w:rPr>
          <w:rFonts w:hint="eastAsia" w:ascii="宋体" w:hAnsi="宋体" w:eastAsia="宋体" w:cs="宋体"/>
          <w:bCs/>
          <w:color w:val="auto"/>
          <w:kern w:val="0"/>
          <w:sz w:val="24"/>
          <w:szCs w:val="24"/>
        </w:rPr>
        <w:t>监视与统计</w:t>
      </w:r>
      <w:r>
        <w:rPr>
          <w:rFonts w:hint="eastAsia" w:ascii="宋体" w:hAnsi="宋体" w:eastAsia="宋体" w:cs="宋体"/>
          <w:bCs/>
          <w:color w:val="auto"/>
          <w:kern w:val="0"/>
          <w:sz w:val="24"/>
          <w:szCs w:val="24"/>
          <w:lang w:eastAsia="zh-CN"/>
        </w:rPr>
        <w:t>。</w:t>
      </w:r>
    </w:p>
    <w:p>
      <w:pPr>
        <w:spacing w:line="360" w:lineRule="auto"/>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1.2</w:t>
      </w:r>
      <w:r>
        <w:rPr>
          <w:rFonts w:hint="eastAsia" w:ascii="宋体" w:hAnsi="宋体" w:eastAsia="宋体" w:cs="宋体"/>
          <w:bCs/>
          <w:color w:val="auto"/>
          <w:kern w:val="0"/>
          <w:sz w:val="24"/>
          <w:szCs w:val="24"/>
        </w:rPr>
        <w:t>公司领导层重视测量管理体系各项工作，配备完善了相关资源和设备</w:t>
      </w:r>
      <w:r>
        <w:rPr>
          <w:rFonts w:hint="eastAsia" w:ascii="宋体" w:hAnsi="宋体" w:eastAsia="宋体" w:cs="宋体"/>
          <w:bCs/>
          <w:color w:val="auto"/>
          <w:kern w:val="0"/>
          <w:sz w:val="24"/>
          <w:szCs w:val="24"/>
          <w:lang w:val="en-US" w:eastAsia="zh-CN"/>
        </w:rPr>
        <w:t>。企业为了更好的控制产品质量，今年新购置了电子拉力试验机，并已校准经确认后投入使用。企业根据测量体系质量方针，制定了4项质量目标，目标可测量。质量目标已分解到个部门。2021年1月至6月质量目标全部完成。测量管理体系的符合性</w:t>
      </w:r>
      <w:r>
        <w:rPr>
          <w:rFonts w:hint="eastAsia" w:ascii="宋体" w:hAnsi="宋体" w:eastAsia="宋体" w:cs="宋体"/>
          <w:bCs/>
          <w:color w:val="auto"/>
          <w:kern w:val="0"/>
          <w:sz w:val="24"/>
          <w:szCs w:val="24"/>
        </w:rPr>
        <w:t>、有效性及持续改进，符合GB/T 19022-2003标准要求，</w:t>
      </w:r>
      <w:r>
        <w:rPr>
          <w:rFonts w:hint="eastAsia" w:asciiTheme="majorEastAsia" w:hAnsiTheme="majorEastAsia" w:eastAsiaTheme="majorEastAsia" w:cstheme="majorEastAsia"/>
          <w:color w:val="auto"/>
          <w:sz w:val="24"/>
          <w:szCs w:val="24"/>
        </w:rPr>
        <w:t>公司测量管理体系正常有序运行，较好地满足了公司可持续发展的需要。企业效益逐年提高。</w:t>
      </w:r>
    </w:p>
    <w:p>
      <w:pPr>
        <w:spacing w:line="360" w:lineRule="auto"/>
        <w:rPr>
          <w:rFonts w:hint="eastAsia" w:asciiTheme="majorEastAsia" w:hAnsiTheme="majorEastAsia" w:eastAsiaTheme="majorEastAsia" w:cstheme="majorEastAsia"/>
          <w:color w:val="0000FF"/>
          <w:sz w:val="24"/>
          <w:szCs w:val="24"/>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2.内部审核和管理评审的情况：</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2.1公司于2021年6月7日至6月8组织了公司测量管理体系内审，内审分1个组，对公司8个部门和车间进行了审核，共开出了1个不符合项，到目前为止不符合项已全部完成整改。</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2.2企业于2021年7月8日开展了单体系管理评审，会议由公司总经理李东霖主持，由品质部汇报了体系运行情况。其他相关职能部门汇报了本部门所做的测量体系相关工作。会议肯定了公司测量管理体系的充分性、有效性和适宜性。形成了管理评审报告。</w:t>
      </w:r>
    </w:p>
    <w:p>
      <w:pPr>
        <w:spacing w:line="360" w:lineRule="auto"/>
        <w:rPr>
          <w:rFonts w:hint="eastAsia" w:asciiTheme="majorEastAsia" w:hAnsiTheme="majorEastAsia" w:eastAsiaTheme="majorEastAsia" w:cstheme="majorEastAsia"/>
          <w:color w:val="auto"/>
          <w:sz w:val="24"/>
          <w:szCs w:val="24"/>
        </w:rPr>
      </w:pP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3.为持续改进而策划的活动的进展，企业对识别的关键测量过程进行了持续的控制，企业防伪纸挺度测量为关键测量过程，测量过程识别、测量设备配备、检定/校准、验证，测量过程有效性确认，测量不确定度评定、测量过程控制和监视满足要求。企业没有新增关键测量过程。</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a)计量要求的导出和验证：查防伪纸挺度测量过程，计量要求导出方法正确，验证满足测量过程要求。祥见附件《计量要求导出及验证记录表》</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b)测量不确定评定：查防伪纸挺度测量过程，测量不确定度评定方法正确。祥见附件《测量不确定度评定报告》</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c)有效性确认：查防伪纸挺度测量过程有效性确认，满足要求。祥见附件《测量过程有效性确认》</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d)测量过程的控制：查防伪纸挺度测量过程，编制了控制规范，对测量人员、测量设备、测量环境进行控制，满足要求。</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e)测量过程的监视：查防伪纸挺度测量过程，采用统计技术进行控制和监视测量过程。祥见《防伪纸挺度测量过程控制监视分析表及控制图》</w:t>
      </w:r>
    </w:p>
    <w:p>
      <w:pPr>
        <w:spacing w:line="360" w:lineRule="auto"/>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f)测量设备的溯源：公司未建最高计量标准，企业测量设备由设备部负责组织委外检定/校准。公司测量设备委托安徽华方计量科技有限公司、桐城市市场监督检验所、苏州朗博校准检测有限公司等检定/校准</w:t>
      </w:r>
      <w:r>
        <w:rPr>
          <w:rFonts w:hint="eastAsia" w:asciiTheme="majorEastAsia" w:hAnsiTheme="majorEastAsia" w:eastAsiaTheme="majorEastAsia" w:cstheme="majorEastAsia"/>
          <w:color w:val="auto"/>
          <w:sz w:val="24"/>
          <w:szCs w:val="24"/>
          <w:lang w:val="en-US" w:eastAsia="zh-CN"/>
        </w:rPr>
        <w:t>，</w:t>
      </w:r>
      <w:r>
        <w:rPr>
          <w:rFonts w:hint="eastAsia" w:ascii="宋体" w:hAnsi="宋体" w:eastAsia="宋体" w:cs="宋体"/>
          <w:bCs/>
          <w:color w:val="auto"/>
          <w:kern w:val="0"/>
          <w:sz w:val="24"/>
          <w:szCs w:val="24"/>
          <w:lang w:val="en-US" w:eastAsia="zh-CN"/>
        </w:rPr>
        <w:t>抽查8台测量设备检定/校准证书，溯源满足要求。祥见《测量设备溯源抽查表》</w:t>
      </w:r>
    </w:p>
    <w:p>
      <w:pPr>
        <w:snapToGrid w:val="0"/>
        <w:spacing w:line="360" w:lineRule="auto"/>
        <w:rPr>
          <w:rFonts w:hint="eastAsia" w:asciiTheme="majorEastAsia" w:hAnsiTheme="majorEastAsia" w:eastAsiaTheme="majorEastAsia" w:cstheme="majorEastAsia"/>
          <w:color w:val="auto"/>
          <w:sz w:val="24"/>
          <w:szCs w:val="24"/>
          <w:lang w:val="en-US" w:eastAsia="zh-CN"/>
        </w:rPr>
      </w:pPr>
    </w:p>
    <w:p>
      <w:pPr>
        <w:snapToGrid w:val="0"/>
        <w:spacing w:line="360" w:lineRule="auto"/>
        <w:rPr>
          <w:rFonts w:hint="eastAsia" w:asciiTheme="majorEastAsia" w:hAnsiTheme="majorEastAsia" w:eastAsiaTheme="majorEastAsia" w:cstheme="majorEastAsia"/>
          <w:color w:val="0000FF"/>
          <w:sz w:val="24"/>
          <w:szCs w:val="24"/>
          <w:lang w:val="en-US" w:eastAsia="zh-CN"/>
        </w:rPr>
      </w:pPr>
      <w:r>
        <w:rPr>
          <w:rFonts w:hint="eastAsia" w:asciiTheme="majorEastAsia" w:hAnsiTheme="majorEastAsia" w:eastAsiaTheme="majorEastAsia" w:cstheme="majorEastAsia"/>
          <w:color w:val="auto"/>
          <w:sz w:val="24"/>
          <w:szCs w:val="24"/>
          <w:lang w:val="en-US" w:eastAsia="zh-CN"/>
        </w:rPr>
        <w:t>4.能源管理情况：企业消耗能源主要有：水、电力 、天然气，2020年消耗电量8190330千瓦时，水11313吨。天然气20377立方。企业不是重点能耗单位。</w:t>
      </w:r>
    </w:p>
    <w:p>
      <w:pPr>
        <w:snapToGrid w:val="0"/>
        <w:spacing w:line="360" w:lineRule="auto"/>
        <w:rPr>
          <w:rFonts w:hint="eastAsia" w:ascii="宋体" w:hAnsi="宋体" w:eastAsia="宋体" w:cs="宋体"/>
          <w:bCs/>
          <w:color w:val="auto"/>
          <w:kern w:val="0"/>
          <w:sz w:val="24"/>
          <w:szCs w:val="24"/>
        </w:rPr>
      </w:pPr>
    </w:p>
    <w:p>
      <w:pPr>
        <w:snapToGrid w:val="0"/>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5.对认证审核时提出的的不符合项的纠正措施情况： </w:t>
      </w:r>
    </w:p>
    <w:p>
      <w:pPr>
        <w:snapToGrid w:val="0"/>
        <w:spacing w:line="360" w:lineRule="auto"/>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bCs/>
          <w:color w:val="auto"/>
          <w:kern w:val="0"/>
          <w:sz w:val="24"/>
          <w:szCs w:val="24"/>
          <w:lang w:val="en-US" w:eastAsia="zh-CN"/>
        </w:rPr>
        <w:t>5</w:t>
      </w:r>
      <w:r>
        <w:rPr>
          <w:rFonts w:hint="eastAsia" w:asciiTheme="majorEastAsia" w:hAnsiTheme="majorEastAsia" w:eastAsiaTheme="majorEastAsia" w:cstheme="majorEastAsia"/>
          <w:color w:val="auto"/>
          <w:sz w:val="24"/>
          <w:szCs w:val="24"/>
          <w:lang w:val="en-US" w:eastAsia="zh-CN"/>
        </w:rPr>
        <w:t>.1 2020年首次审核发现2个不符合项。</w:t>
      </w:r>
    </w:p>
    <w:p>
      <w:pPr>
        <w:snapToGrid w:val="0"/>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5.1.1查：品质部提供的检测日期2020年7月30日、表格编号为T06001A0的“基膜检验报告”，报告中没有检验依据、报告编号。</w:t>
      </w:r>
    </w:p>
    <w:p>
      <w:pPr>
        <w:snapToGrid w:val="0"/>
        <w:spacing w:line="360" w:lineRule="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5.1.2查：生产部印刷车间编号：PC396的秒表、编号：T1的3号察恩杯未进行检定/校准。</w:t>
      </w:r>
    </w:p>
    <w:p>
      <w:pPr>
        <w:snapToGrid w:val="0"/>
        <w:spacing w:line="360" w:lineRule="auto"/>
        <w:ind w:firstLine="480" w:firstLineChars="200"/>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企业已制定了纠正措施，已进行了整改。经验证2个不符合项已整改完成。同意关闭这两个不符合项。</w:t>
      </w:r>
    </w:p>
    <w:p>
      <w:pPr>
        <w:widowControl/>
        <w:spacing w:line="360" w:lineRule="auto"/>
        <w:ind w:firstLine="480" w:firstLineChars="200"/>
        <w:jc w:val="left"/>
        <w:rPr>
          <w:rFonts w:hint="default" w:asciiTheme="minorEastAsia" w:hAnsiTheme="minorEastAsia" w:eastAsiaTheme="minorEastAsia"/>
          <w:sz w:val="24"/>
          <w:szCs w:val="24"/>
          <w:lang w:val="en-US" w:eastAsia="zh-CN"/>
        </w:rPr>
      </w:pPr>
    </w:p>
    <w:p>
      <w:pPr>
        <w:widowControl/>
        <w:spacing w:line="360" w:lineRule="auto"/>
        <w:rPr>
          <w:rFonts w:hint="eastAsia" w:ascii="宋体" w:hAnsi="宋体" w:eastAsia="宋体" w:cs="宋体"/>
          <w:bCs/>
          <w:color w:val="auto"/>
          <w:kern w:val="0"/>
          <w:sz w:val="24"/>
          <w:szCs w:val="24"/>
        </w:rPr>
      </w:pPr>
      <w:bookmarkStart w:id="11" w:name="_GoBack"/>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对投诉的处理情况：</w:t>
      </w: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公司目前尚未接到客户在产品质量、物料交接、能源、安全、现场管理等方面的投诉和纠纷。</w:t>
      </w:r>
    </w:p>
    <w:p>
      <w:pPr>
        <w:widowControl/>
        <w:spacing w:line="360" w:lineRule="auto"/>
        <w:ind w:firstLine="480" w:firstLineChars="200"/>
        <w:rPr>
          <w:rFonts w:hint="eastAsia" w:ascii="宋体" w:hAnsi="宋体"/>
          <w:color w:val="auto"/>
          <w:sz w:val="24"/>
          <w:szCs w:val="24"/>
          <w:lang w:val="en-US" w:eastAsia="zh-CN"/>
        </w:rPr>
      </w:pPr>
    </w:p>
    <w:p>
      <w:pPr>
        <w:widowControl/>
        <w:spacing w:line="360" w:lineRule="auto"/>
        <w:rPr>
          <w:rFonts w:hint="eastAsia" w:ascii="宋体" w:hAnsi="宋体"/>
          <w:color w:val="auto"/>
          <w:sz w:val="24"/>
          <w:szCs w:val="24"/>
          <w:lang w:val="en-US" w:eastAsia="zh-CN"/>
        </w:rPr>
      </w:pPr>
      <w:r>
        <w:rPr>
          <w:rFonts w:hint="eastAsia" w:ascii="宋体" w:hAnsi="宋体"/>
          <w:color w:val="auto"/>
          <w:sz w:val="24"/>
          <w:szCs w:val="24"/>
          <w:lang w:val="en-US" w:eastAsia="zh-CN"/>
        </w:rPr>
        <w:t>7.测量管理体系在实现获证客户目标方面的有效性及持续的运作控制情况：</w:t>
      </w:r>
    </w:p>
    <w:p>
      <w:pPr>
        <w:widowControl/>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企业根据测量体系质量方针，制定了4项质量目标，目标可测量。质量目标已分解到各部门，查:2021年1月至6月质量目标全部完成。</w:t>
      </w:r>
      <w:r>
        <w:rPr>
          <w:rFonts w:hint="eastAsia" w:ascii="宋体" w:hAnsi="宋体" w:eastAsia="宋体" w:cs="宋体"/>
          <w:bCs/>
          <w:color w:val="auto"/>
          <w:kern w:val="0"/>
          <w:sz w:val="24"/>
          <w:szCs w:val="24"/>
          <w:lang w:val="en-US" w:eastAsia="zh-CN"/>
        </w:rPr>
        <w:t>企业测量体系进一</w:t>
      </w:r>
      <w:r>
        <w:rPr>
          <w:rFonts w:hint="eastAsia" w:ascii="宋体" w:hAnsi="宋体"/>
          <w:color w:val="auto"/>
          <w:sz w:val="24"/>
          <w:szCs w:val="24"/>
          <w:lang w:val="en-US" w:eastAsia="zh-CN"/>
        </w:rPr>
        <w:t>步满足顾客、质量、服务等方面的要求，符合GB/T 19022-2003标准要求。使其更具有动态性和适宜性、有效性及对持续运作的控制。</w:t>
      </w:r>
    </w:p>
    <w:p>
      <w:pPr>
        <w:widowControl/>
        <w:spacing w:line="360" w:lineRule="auto"/>
        <w:rPr>
          <w:rFonts w:hint="eastAsia" w:ascii="宋体" w:hAnsi="宋体" w:eastAsia="宋体" w:cs="宋体"/>
          <w:bCs/>
          <w:color w:val="auto"/>
          <w:kern w:val="0"/>
          <w:sz w:val="24"/>
          <w:szCs w:val="24"/>
          <w:lang w:val="en-US" w:eastAsia="zh-CN"/>
        </w:rPr>
      </w:pPr>
    </w:p>
    <w:bookmarkEnd w:id="11"/>
    <w:p>
      <w:pPr>
        <w:widowControl/>
        <w:spacing w:line="360" w:lineRule="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lang w:val="en-US" w:eastAsia="zh-CN"/>
        </w:rPr>
        <w:t>8.</w:t>
      </w:r>
      <w:r>
        <w:rPr>
          <w:rFonts w:hint="eastAsia" w:ascii="宋体" w:hAnsi="宋体" w:eastAsia="宋体" w:cs="宋体"/>
          <w:bCs/>
          <w:color w:val="auto"/>
          <w:kern w:val="0"/>
          <w:sz w:val="24"/>
          <w:szCs w:val="24"/>
        </w:rPr>
        <w:t>对企业组织任何变更的审核</w:t>
      </w:r>
    </w:p>
    <w:p>
      <w:pPr>
        <w:widowControl/>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rPr>
        <w:t>企业营业执照未发生变化。</w:t>
      </w:r>
      <w:r>
        <w:rPr>
          <w:rFonts w:hint="eastAsia" w:ascii="宋体" w:hAnsi="宋体"/>
          <w:color w:val="auto"/>
          <w:sz w:val="24"/>
          <w:szCs w:val="24"/>
          <w:lang w:val="en-US" w:eastAsia="zh-CN"/>
        </w:rPr>
        <w:t>企业组织机构没有变更。</w:t>
      </w:r>
    </w:p>
    <w:p>
      <w:pPr>
        <w:widowControl/>
        <w:spacing w:line="360" w:lineRule="auto"/>
        <w:rPr>
          <w:rFonts w:hint="eastAsia" w:ascii="宋体" w:hAnsi="宋体" w:eastAsia="宋体" w:cs="宋体"/>
          <w:bCs/>
          <w:color w:val="auto"/>
          <w:kern w:val="0"/>
          <w:sz w:val="24"/>
          <w:szCs w:val="24"/>
        </w:rPr>
      </w:pPr>
      <w:r>
        <w:rPr>
          <w:rFonts w:hint="eastAsia" w:cs="宋体" w:asciiTheme="minorEastAsia" w:hAnsiTheme="minorEastAsia"/>
          <w:bCs/>
          <w:color w:val="auto"/>
          <w:kern w:val="0"/>
          <w:sz w:val="24"/>
          <w:szCs w:val="24"/>
          <w:lang w:val="en-US" w:eastAsia="zh-CN"/>
        </w:rPr>
        <w:t>9.</w:t>
      </w:r>
      <w:r>
        <w:rPr>
          <w:rFonts w:hint="eastAsia" w:ascii="宋体" w:hAnsi="宋体" w:eastAsia="宋体" w:cs="宋体"/>
          <w:bCs/>
          <w:color w:val="auto"/>
          <w:kern w:val="0"/>
          <w:sz w:val="24"/>
          <w:szCs w:val="24"/>
        </w:rPr>
        <w:t>标志的使用和（或）任何其他对认证资格引用的情况：</w:t>
      </w:r>
    </w:p>
    <w:p>
      <w:pPr>
        <w:numPr>
          <w:ilvl w:val="0"/>
          <w:numId w:val="0"/>
        </w:numPr>
        <w:snapToGrid w:val="0"/>
        <w:spacing w:line="360" w:lineRule="auto"/>
        <w:ind w:right="-512" w:rightChars="-244" w:firstLine="480" w:firstLineChars="200"/>
        <w:rPr>
          <w:rFonts w:hint="eastAsia" w:ascii="宋体" w:hAnsi="宋体"/>
          <w:color w:val="auto"/>
          <w:sz w:val="24"/>
          <w:szCs w:val="24"/>
        </w:rPr>
      </w:pPr>
      <w:r>
        <w:rPr>
          <w:rFonts w:hint="eastAsia" w:cs="宋体" w:asciiTheme="minorEastAsia" w:hAnsiTheme="minorEastAsia"/>
          <w:bCs/>
          <w:color w:val="auto"/>
          <w:kern w:val="0"/>
          <w:sz w:val="24"/>
          <w:szCs w:val="24"/>
        </w:rPr>
        <w:t>公司对</w:t>
      </w:r>
      <w:r>
        <w:rPr>
          <w:rFonts w:hint="eastAsia" w:asciiTheme="minorEastAsia" w:hAnsiTheme="minorEastAsia"/>
          <w:bCs/>
          <w:color w:val="auto"/>
          <w:sz w:val="24"/>
          <w:szCs w:val="24"/>
        </w:rPr>
        <w:t>标志的使用，</w:t>
      </w:r>
      <w:r>
        <w:rPr>
          <w:rFonts w:hint="eastAsia"/>
          <w:bCs/>
          <w:color w:val="auto"/>
          <w:sz w:val="24"/>
          <w:szCs w:val="24"/>
        </w:rPr>
        <w:t>符合相关标准和规定。公司测量</w:t>
      </w:r>
      <w:r>
        <w:rPr>
          <w:rFonts w:hint="eastAsia" w:ascii="宋体" w:hAnsi="宋体"/>
          <w:bCs/>
          <w:color w:val="auto"/>
          <w:sz w:val="24"/>
          <w:szCs w:val="24"/>
        </w:rPr>
        <w:t>管理体系认证证书用于：招投标和企业形象宣传。</w:t>
      </w:r>
    </w:p>
    <w:p>
      <w:pPr>
        <w:numPr>
          <w:ilvl w:val="0"/>
          <w:numId w:val="0"/>
        </w:numPr>
        <w:snapToGrid w:val="0"/>
        <w:spacing w:line="360" w:lineRule="auto"/>
        <w:ind w:right="-512" w:rightChars="-244"/>
        <w:rPr>
          <w:rFonts w:hint="eastAsia" w:ascii="宋体" w:hAnsi="宋体"/>
          <w:color w:val="auto"/>
          <w:sz w:val="24"/>
          <w:szCs w:val="24"/>
          <w:highlight w:val="none"/>
          <w:lang w:val="en-US" w:eastAsia="zh-CN"/>
        </w:rPr>
      </w:pPr>
    </w:p>
    <w:p>
      <w:pPr>
        <w:numPr>
          <w:ilvl w:val="0"/>
          <w:numId w:val="0"/>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lang w:val="en-US" w:eastAsia="zh-CN"/>
        </w:rPr>
        <w:t>10.</w:t>
      </w:r>
      <w:r>
        <w:rPr>
          <w:rFonts w:hint="eastAsia" w:cs="宋体" w:asciiTheme="minorEastAsia" w:hAnsiTheme="minorEastAsia"/>
          <w:bCs/>
          <w:color w:val="auto"/>
          <w:kern w:val="0"/>
          <w:sz w:val="24"/>
          <w:szCs w:val="24"/>
        </w:rPr>
        <w:t>本次审核</w:t>
      </w:r>
      <w:r>
        <w:rPr>
          <w:rFonts w:hint="eastAsia" w:cs="宋体" w:asciiTheme="minorEastAsia" w:hAnsiTheme="minorEastAsia"/>
          <w:bCs/>
          <w:color w:val="auto"/>
          <w:kern w:val="0"/>
          <w:sz w:val="24"/>
          <w:szCs w:val="24"/>
          <w:lang w:val="en-US" w:eastAsia="zh-CN"/>
        </w:rPr>
        <w:t>未</w:t>
      </w:r>
      <w:r>
        <w:rPr>
          <w:rFonts w:hint="eastAsia" w:cs="宋体" w:asciiTheme="minorEastAsia" w:hAnsiTheme="minorEastAsia"/>
          <w:bCs/>
          <w:color w:val="auto"/>
          <w:kern w:val="0"/>
          <w:sz w:val="24"/>
          <w:szCs w:val="24"/>
        </w:rPr>
        <w:t>发现一般不符合项 ，未发现严重或系统性的不符合情况。</w:t>
      </w:r>
    </w:p>
    <w:p>
      <w:pPr>
        <w:numPr>
          <w:ilvl w:val="0"/>
          <w:numId w:val="0"/>
        </w:numPr>
        <w:snapToGrid w:val="0"/>
        <w:spacing w:line="360" w:lineRule="auto"/>
        <w:ind w:right="-512" w:rightChars="-244"/>
        <w:rPr>
          <w:rFonts w:hint="eastAsia" w:cs="宋体" w:asciiTheme="minorEastAsia" w:hAnsiTheme="minorEastAsia"/>
          <w:bCs/>
          <w:color w:val="auto"/>
          <w:kern w:val="0"/>
          <w:sz w:val="24"/>
          <w:szCs w:val="24"/>
        </w:rPr>
      </w:pPr>
      <w:r>
        <w:rPr>
          <w:rFonts w:hint="eastAsia" w:cs="宋体" w:asciiTheme="minorEastAsia" w:hAnsiTheme="minorEastAsia"/>
          <w:bCs/>
          <w:color w:val="auto"/>
          <w:kern w:val="0"/>
          <w:sz w:val="24"/>
          <w:szCs w:val="24"/>
        </w:rPr>
        <w:t>三、监督审核结论意见(含需要说明的事项):</w:t>
      </w:r>
    </w:p>
    <w:p>
      <w:pPr>
        <w:widowControl/>
        <w:spacing w:line="360" w:lineRule="auto"/>
        <w:ind w:firstLine="480" w:firstLineChars="200"/>
        <w:rPr>
          <w:rFonts w:hint="eastAsia" w:cs="宋体" w:asciiTheme="minorEastAsia" w:hAnsiTheme="minorEastAsia"/>
          <w:bCs/>
          <w:color w:val="auto"/>
          <w:kern w:val="0"/>
          <w:sz w:val="24"/>
          <w:szCs w:val="24"/>
        </w:rPr>
      </w:pPr>
      <w:r>
        <w:rPr>
          <w:rFonts w:hint="eastAsia" w:ascii="宋体" w:hAnsi="宋体" w:eastAsia="宋体" w:cs="宋体"/>
          <w:bCs/>
          <w:color w:val="auto"/>
          <w:kern w:val="0"/>
          <w:sz w:val="24"/>
          <w:szCs w:val="24"/>
        </w:rPr>
        <w:t>通过20</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9</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至9月14上午</w:t>
      </w:r>
      <w:r>
        <w:rPr>
          <w:rFonts w:hint="eastAsia" w:ascii="宋体" w:hAnsi="宋体" w:eastAsia="宋体" w:cs="宋体"/>
          <w:bCs/>
          <w:color w:val="auto"/>
          <w:kern w:val="0"/>
          <w:sz w:val="24"/>
          <w:szCs w:val="24"/>
        </w:rPr>
        <w:t>，</w:t>
      </w:r>
      <w:r>
        <w:rPr>
          <w:rFonts w:hint="eastAsia" w:cs="宋体" w:asciiTheme="minorEastAsia" w:hAnsiTheme="minorEastAsia"/>
          <w:bCs/>
          <w:color w:val="auto"/>
          <w:kern w:val="0"/>
          <w:sz w:val="24"/>
          <w:szCs w:val="24"/>
        </w:rPr>
        <w:t>对</w:t>
      </w:r>
      <w:r>
        <w:rPr>
          <w:rFonts w:hint="eastAsia" w:cs="宋体" w:asciiTheme="minorEastAsia" w:hAnsiTheme="minorEastAsia"/>
          <w:bCs/>
          <w:color w:val="auto"/>
          <w:kern w:val="0"/>
          <w:sz w:val="24"/>
          <w:szCs w:val="24"/>
          <w:lang w:eastAsia="zh-CN"/>
        </w:rPr>
        <w:t>安徽顺彤包装材料有限公司</w:t>
      </w:r>
      <w:r>
        <w:rPr>
          <w:rFonts w:hint="eastAsia" w:cs="宋体" w:asciiTheme="minorEastAsia" w:hAnsiTheme="minorEastAsia"/>
          <w:bCs/>
          <w:color w:val="auto"/>
          <w:kern w:val="0"/>
          <w:sz w:val="24"/>
          <w:szCs w:val="24"/>
        </w:rPr>
        <w:t>监督审核.验证了公司在去年一年内，测量管理体系运作情况，公司领导重视体系运行和管理，体系文件得到有效实施，关键测量过程受控、监视方法正确有效，重要测量人员能力受控，测量设备、测量环境、测量软件、测量记录及外部供方管理等各项工作管理规范，使公司测量体系持续满足顾客的测量要求。综上所述，审核组认为</w:t>
      </w:r>
      <w:r>
        <w:rPr>
          <w:rFonts w:hint="eastAsia" w:cs="宋体" w:asciiTheme="minorEastAsia" w:hAnsiTheme="minorEastAsia"/>
          <w:bCs/>
          <w:color w:val="auto"/>
          <w:kern w:val="0"/>
          <w:sz w:val="24"/>
          <w:szCs w:val="24"/>
          <w:lang w:eastAsia="zh-CN"/>
        </w:rPr>
        <w:t>安徽顺彤包装材料有限公司</w:t>
      </w:r>
      <w:r>
        <w:rPr>
          <w:rFonts w:hint="eastAsia" w:cs="宋体" w:asciiTheme="minorEastAsia" w:hAnsiTheme="minorEastAsia"/>
          <w:bCs/>
          <w:color w:val="auto"/>
          <w:kern w:val="0"/>
          <w:sz w:val="24"/>
          <w:szCs w:val="24"/>
        </w:rPr>
        <w:t>测量管理体系，符合GB/T 19022-2003标准要求，对体系运行具有持续的有效性、符合性予以肯定。建议报请国标联合认证有限公司批准通过监督审核。</w:t>
      </w:r>
    </w:p>
    <w:p>
      <w:pPr>
        <w:widowControl/>
        <w:spacing w:line="360" w:lineRule="auto"/>
        <w:rPr>
          <w:rFonts w:hint="eastAsia" w:cs="宋体" w:asciiTheme="minorEastAsia" w:hAnsiTheme="minorEastAsia"/>
          <w:bCs/>
          <w:color w:val="auto"/>
          <w:kern w:val="0"/>
          <w:sz w:val="24"/>
          <w:szCs w:val="24"/>
        </w:rPr>
      </w:pPr>
    </w:p>
    <w:p>
      <w:pPr>
        <w:widowControl/>
        <w:spacing w:line="360" w:lineRule="auto"/>
        <w:jc w:val="left"/>
        <w:rPr>
          <w:rFonts w:ascii="宋体" w:hAnsi="宋体" w:eastAsia="宋体" w:cs="宋体"/>
          <w:color w:val="auto"/>
          <w:kern w:val="0"/>
          <w:szCs w:val="21"/>
        </w:rPr>
      </w:pPr>
    </w:p>
    <w:p>
      <w:pPr>
        <w:widowControl/>
        <w:spacing w:line="360" w:lineRule="auto"/>
        <w:jc w:val="left"/>
        <w:rPr>
          <w:rFonts w:ascii="宋体" w:hAnsi="宋体" w:eastAsia="宋体" w:cs="宋体"/>
          <w:color w:val="auto"/>
          <w:kern w:val="0"/>
          <w:szCs w:val="21"/>
        </w:rPr>
      </w:pPr>
    </w:p>
    <w:p>
      <w:pPr>
        <w:widowControl/>
        <w:spacing w:line="360" w:lineRule="auto"/>
        <w:jc w:val="left"/>
        <w:rPr>
          <w:rFonts w:ascii="宋体" w:hAnsi="宋体" w:eastAsia="宋体" w:cs="宋体"/>
          <w:color w:val="auto"/>
          <w:kern w:val="0"/>
          <w:szCs w:val="21"/>
        </w:rPr>
      </w:pPr>
      <w:r>
        <w:rPr>
          <w:rFonts w:hint="eastAsia"/>
          <w:color w:val="auto"/>
          <w:sz w:val="24"/>
          <w:szCs w:val="24"/>
        </w:rPr>
        <w:drawing>
          <wp:anchor distT="0" distB="0" distL="114300" distR="114300" simplePos="0" relativeHeight="251669504" behindDoc="0" locked="0" layoutInCell="1" allowOverlap="1">
            <wp:simplePos x="0" y="0"/>
            <wp:positionH relativeFrom="column">
              <wp:posOffset>1402715</wp:posOffset>
            </wp:positionH>
            <wp:positionV relativeFrom="paragraph">
              <wp:posOffset>287655</wp:posOffset>
            </wp:positionV>
            <wp:extent cx="614680" cy="385445"/>
            <wp:effectExtent l="0" t="0" r="0" b="5080"/>
            <wp:wrapNone/>
            <wp:docPr id="4" name="图片 2" descr="我电子签名92764bb375c44007ba1788b07a13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我电子签名92764bb375c44007ba1788b07a13b84"/>
                    <pic:cNvPicPr>
                      <a:picLocks noChangeAspect="1"/>
                    </pic:cNvPicPr>
                  </pic:nvPicPr>
                  <pic:blipFill>
                    <a:blip r:embed="rId6"/>
                    <a:stretch>
                      <a:fillRect/>
                    </a:stretch>
                  </pic:blipFill>
                  <pic:spPr>
                    <a:xfrm>
                      <a:off x="0" y="0"/>
                      <a:ext cx="614680" cy="385445"/>
                    </a:xfrm>
                    <a:prstGeom prst="rect">
                      <a:avLst/>
                    </a:prstGeom>
                    <a:noFill/>
                    <a:ln>
                      <a:noFill/>
                    </a:ln>
                  </pic:spPr>
                </pic:pic>
              </a:graphicData>
            </a:graphic>
          </wp:anchor>
        </w:drawing>
      </w:r>
    </w:p>
    <w:p>
      <w:pPr>
        <w:widowControl/>
        <w:spacing w:line="360" w:lineRule="auto"/>
        <w:jc w:val="left"/>
        <w:rPr>
          <w:rFonts w:hint="default" w:ascii="宋体" w:hAnsi="宋体" w:eastAsia="宋体" w:cs="宋体"/>
          <w:color w:val="auto"/>
          <w:kern w:val="0"/>
          <w:szCs w:val="21"/>
          <w:lang w:val="en-US" w:eastAsia="zh-CN"/>
        </w:rPr>
      </w:pPr>
      <w:r>
        <w:rPr>
          <w:rFonts w:ascii="宋体" w:hAnsi="宋体" w:eastAsia="宋体" w:cs="宋体"/>
          <w:color w:val="auto"/>
          <w:kern w:val="0"/>
          <w:szCs w:val="21"/>
        </w:rPr>
        <w:t>审核组组长（签字）：</w:t>
      </w:r>
      <w:r>
        <w:rPr>
          <w:rFonts w:hint="eastAsia" w:ascii="宋体" w:hAnsi="宋体" w:eastAsia="宋体" w:cs="宋体"/>
          <w:color w:val="auto"/>
          <w:kern w:val="0"/>
          <w:szCs w:val="21"/>
        </w:rPr>
        <w:t xml:space="preserve">                                 </w:t>
      </w:r>
      <w:r>
        <w:rPr>
          <w:rFonts w:ascii="宋体" w:hAnsi="宋体" w:eastAsia="宋体" w:cs="宋体"/>
          <w:color w:val="auto"/>
          <w:kern w:val="0"/>
          <w:szCs w:val="21"/>
        </w:rPr>
        <w:t>日</w:t>
      </w:r>
      <w:r>
        <w:rPr>
          <w:rFonts w:hint="eastAsia" w:ascii="宋体" w:hAnsi="宋体" w:eastAsia="宋体" w:cs="宋体"/>
          <w:color w:val="auto"/>
          <w:kern w:val="0"/>
          <w:szCs w:val="21"/>
        </w:rPr>
        <w:t xml:space="preserve"> </w:t>
      </w:r>
      <w:r>
        <w:rPr>
          <w:rFonts w:ascii="宋体" w:hAnsi="宋体" w:eastAsia="宋体" w:cs="宋体"/>
          <w:color w:val="auto"/>
          <w:kern w:val="0"/>
          <w:szCs w:val="21"/>
        </w:rPr>
        <w:t>期：</w:t>
      </w:r>
      <w:r>
        <w:rPr>
          <w:rFonts w:hint="eastAsia" w:ascii="宋体" w:hAnsi="宋体" w:eastAsia="宋体" w:cs="宋体"/>
          <w:color w:val="auto"/>
          <w:kern w:val="0"/>
          <w:szCs w:val="21"/>
          <w:lang w:val="en-US" w:eastAsia="zh-CN"/>
        </w:rPr>
        <w:t>2021.9.14</w:t>
      </w:r>
    </w:p>
    <w:p>
      <w:pPr>
        <w:widowControl/>
        <w:spacing w:line="360" w:lineRule="auto"/>
        <w:jc w:val="left"/>
        <w:rPr>
          <w:rFonts w:ascii="宋体" w:hAnsi="宋体" w:eastAsia="宋体" w:cs="宋体"/>
          <w:kern w:val="0"/>
          <w:szCs w:val="21"/>
        </w:rPr>
      </w:pPr>
    </w:p>
    <w:p>
      <w:pPr>
        <w:widowControl/>
        <w:spacing w:line="360" w:lineRule="auto"/>
        <w:jc w:val="left"/>
        <w:rPr>
          <w:rFonts w:hint="eastAsia" w:ascii="宋体" w:hAnsi="宋体" w:eastAsia="宋体" w:cs="宋体"/>
          <w:color w:val="000000"/>
          <w:kern w:val="0"/>
          <w:szCs w:val="21"/>
          <w:lang w:val="en-US" w:eastAsia="zh-CN"/>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rPr>
          <w:rFonts w:cs="宋体" w:asciiTheme="minorEastAsia" w:hAnsiTheme="minorEastAsia"/>
          <w:bCs/>
          <w:kern w:val="0"/>
          <w:szCs w:val="21"/>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8240"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5C7F92"/>
    <w:rsid w:val="054C2254"/>
    <w:rsid w:val="05F83D8C"/>
    <w:rsid w:val="0D605C22"/>
    <w:rsid w:val="189C51FA"/>
    <w:rsid w:val="19330861"/>
    <w:rsid w:val="27706267"/>
    <w:rsid w:val="39153056"/>
    <w:rsid w:val="39C6174F"/>
    <w:rsid w:val="438440DC"/>
    <w:rsid w:val="46361147"/>
    <w:rsid w:val="4D2D1C11"/>
    <w:rsid w:val="4E0B15DF"/>
    <w:rsid w:val="53731256"/>
    <w:rsid w:val="6EFA0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9</TotalTime>
  <ScaleCrop>false</ScaleCrop>
  <LinksUpToDate>false</LinksUpToDate>
  <CharactersWithSpaces>2163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WPS_1601433895</cp:lastModifiedBy>
  <cp:lastPrinted>2017-09-01T06:24:00Z</cp:lastPrinted>
  <dcterms:modified xsi:type="dcterms:W3CDTF">2021-09-14T02:00:11Z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