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附录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b/>
          <w:bCs/>
          <w:sz w:val="30"/>
          <w:szCs w:val="30"/>
        </w:rPr>
        <w:t>：</w:t>
      </w:r>
    </w:p>
    <w:p>
      <w:pPr>
        <w:pStyle w:val="3"/>
        <w:spacing w:line="240" w:lineRule="auto"/>
        <w:jc w:val="center"/>
        <w:rPr>
          <w:rFonts w:ascii="黑体" w:hAnsi="黑体" w:eastAsia="黑体" w:cs="宋体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防伪纸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挺度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测量过程</w:t>
      </w:r>
      <w:r>
        <w:rPr>
          <w:rFonts w:hint="eastAsia" w:ascii="黑体" w:hAnsi="黑体" w:eastAsia="黑体" w:cs="黑体"/>
          <w:sz w:val="32"/>
          <w:szCs w:val="32"/>
        </w:rPr>
        <w:t>测量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不确定度评定报</w:t>
      </w:r>
      <w:r>
        <w:rPr>
          <w:rFonts w:hint="eastAsia" w:ascii="黑体" w:hAnsi="黑体" w:eastAsia="黑体" w:cs="宋体"/>
          <w:b/>
          <w:bCs/>
          <w:snapToGrid w:val="0"/>
          <w:kern w:val="0"/>
          <w:sz w:val="32"/>
          <w:szCs w:val="32"/>
        </w:rPr>
        <w:t>告</w:t>
      </w:r>
    </w:p>
    <w:p>
      <w:pPr>
        <w:spacing w:line="360" w:lineRule="auto"/>
        <w:rPr>
          <w:bCs/>
          <w:sz w:val="24"/>
        </w:rPr>
      </w:pPr>
      <w:r>
        <w:rPr>
          <w:b/>
          <w:sz w:val="24"/>
        </w:rPr>
        <w:t>1、测量过程</w:t>
      </w:r>
      <w:r>
        <w:rPr>
          <w:b/>
          <w:sz w:val="24"/>
        </w:rPr>
        <w:br w:type="textWrapping"/>
      </w:r>
      <w:r>
        <w:rPr>
          <w:bCs/>
          <w:sz w:val="24"/>
        </w:rPr>
        <w:t>1.1</w:t>
      </w:r>
      <w:r>
        <w:rPr>
          <w:sz w:val="24"/>
        </w:rPr>
        <w:t>、测量方法：依据</w:t>
      </w:r>
      <w:r>
        <w:rPr>
          <w:rFonts w:hint="eastAsia" w:cs="宋体"/>
          <w:bCs/>
          <w:sz w:val="24"/>
        </w:rPr>
        <w:t>GB 22467.1-2008</w:t>
      </w:r>
      <w:r>
        <w:rPr>
          <w:rFonts w:cs="宋体"/>
          <w:b/>
          <w:bCs/>
          <w:sz w:val="24"/>
        </w:rPr>
        <w:t>《</w:t>
      </w:r>
      <w:r>
        <w:rPr>
          <w:rFonts w:hint="eastAsia" w:cs="宋体"/>
          <w:bCs/>
          <w:sz w:val="24"/>
        </w:rPr>
        <w:t>防伪材料通用技术条件第 1 部分：防伪纸</w:t>
      </w:r>
      <w:r>
        <w:rPr>
          <w:rFonts w:cs="宋体"/>
          <w:b/>
          <w:bCs/>
          <w:sz w:val="24"/>
        </w:rPr>
        <w:t>》,</w:t>
      </w:r>
      <w:r>
        <w:rPr>
          <w:rFonts w:hint="eastAsia" w:ascii="Times New Roman" w:hAnsi="Times New Roman" w:cs="宋体"/>
          <w:bCs/>
          <w:sz w:val="24"/>
          <w:lang w:val="en-US" w:eastAsia="zh-CN"/>
        </w:rPr>
        <w:t>GB/T 22364</w:t>
      </w:r>
      <w:r>
        <w:rPr>
          <w:rFonts w:hint="eastAsia" w:ascii="Times New Roman" w:hAnsi="Times New Roman" w:cs="宋体"/>
          <w:bCs/>
          <w:sz w:val="24"/>
        </w:rPr>
        <w:t>《</w:t>
      </w:r>
      <w:r>
        <w:rPr>
          <w:rFonts w:hint="eastAsia" w:ascii="Times New Roman" w:hAnsi="Times New Roman" w:cs="宋体"/>
          <w:bCs/>
          <w:sz w:val="24"/>
          <w:lang w:val="en-US" w:eastAsia="zh-CN"/>
        </w:rPr>
        <w:t>纸和纸板弯曲挺度的测定</w:t>
      </w:r>
      <w:r>
        <w:rPr>
          <w:rFonts w:hint="eastAsia" w:ascii="Times New Roman" w:hAnsi="Times New Roman" w:cs="宋体"/>
          <w:bCs/>
          <w:sz w:val="24"/>
        </w:rPr>
        <w:t>》及</w:t>
      </w:r>
      <w:r>
        <w:rPr>
          <w:rFonts w:hint="eastAsia" w:cs="宋体"/>
          <w:b w:val="0"/>
          <w:bCs w:val="0"/>
          <w:sz w:val="24"/>
        </w:rPr>
        <w:t>控制规范</w:t>
      </w:r>
      <w:r>
        <w:rPr>
          <w:sz w:val="24"/>
        </w:rPr>
        <w:t>测定</w:t>
      </w:r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1.2、环境条件：常温</w:t>
      </w:r>
    </w:p>
    <w:p>
      <w:pPr>
        <w:pStyle w:val="16"/>
        <w:spacing w:line="360" w:lineRule="exact"/>
        <w:ind w:firstLine="0" w:firstLineChars="0"/>
        <w:jc w:val="left"/>
        <w:rPr>
          <w:rFonts w:hint="eastAsia" w:ascii="Times New Roman" w:hAnsi="Times New Roman" w:cs="Times New Roman"/>
          <w:sz w:val="24"/>
        </w:rPr>
      </w:pPr>
      <w:r>
        <w:rPr>
          <w:sz w:val="24"/>
        </w:rPr>
        <w:t>1.3、检测设备：</w:t>
      </w:r>
      <w:r>
        <w:rPr>
          <w:rFonts w:hint="eastAsia" w:ascii="Times New Roman" w:hAnsi="Times New Roman" w:cs="Times New Roman"/>
          <w:sz w:val="24"/>
        </w:rPr>
        <w:t>卧式电脑挺度测试仪</w:t>
      </w:r>
      <w:r>
        <w:rPr>
          <w:rFonts w:ascii="Times New Roman" w:hAnsi="Times New Roman" w:cs="Times New Roman"/>
          <w:sz w:val="24"/>
        </w:rPr>
        <w:t xml:space="preserve">， </w:t>
      </w:r>
      <w:r>
        <w:rPr>
          <w:sz w:val="24"/>
        </w:rPr>
        <w:t>测量范围</w:t>
      </w:r>
      <w:r>
        <w:rPr>
          <w:rFonts w:hint="eastAsia"/>
          <w:sz w:val="24"/>
          <w:lang w:val="en-US" w:eastAsia="zh-CN"/>
        </w:rPr>
        <w:t>(</w:t>
      </w:r>
      <w:r>
        <w:rPr>
          <w:rFonts w:hint="eastAsia"/>
          <w:sz w:val="24"/>
        </w:rPr>
        <w:t>20～10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0</w:t>
      </w:r>
      <w:r>
        <w:rPr>
          <w:rFonts w:hint="eastAsia"/>
          <w:sz w:val="24"/>
          <w:lang w:val="en-US" w:eastAsia="zh-CN"/>
        </w:rPr>
        <w:t>)</w:t>
      </w:r>
      <w:r>
        <w:rPr>
          <w:rFonts w:hint="eastAsia"/>
          <w:sz w:val="24"/>
        </w:rPr>
        <w:t>mN，</w:t>
      </w:r>
      <w:r>
        <w:rPr>
          <w:rFonts w:hint="eastAsia" w:ascii="Times New Roman" w:hAnsi="Times New Roman" w:cs="Times New Roman"/>
          <w:sz w:val="24"/>
        </w:rPr>
        <w:t>最大允许误差</w:t>
      </w:r>
      <w:r>
        <w:rPr>
          <w:rFonts w:hint="eastAsia" w:ascii="宋体" w:hAnsi="宋体" w:eastAsia="宋体" w:cs="宋体"/>
          <w:color w:val="auto"/>
          <w:sz w:val="24"/>
        </w:rPr>
        <w:t>±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</w:rPr>
        <w:t xml:space="preserve">%mN， </w:t>
      </w:r>
      <w:r>
        <w:rPr>
          <w:rFonts w:hint="eastAsia" w:ascii="宋体" w:hAnsi="宋体" w:eastAsia="宋体" w:cs="宋体"/>
          <w:i/>
          <w:iCs/>
          <w:color w:val="auto"/>
          <w:sz w:val="24"/>
        </w:rPr>
        <w:t>Urel</w:t>
      </w:r>
      <w:r>
        <w:rPr>
          <w:rFonts w:hint="eastAsia" w:ascii="宋体" w:hAnsi="宋体" w:eastAsia="宋体" w:cs="宋体"/>
          <w:color w:val="auto"/>
          <w:sz w:val="24"/>
        </w:rPr>
        <w:t>=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0.3</w:t>
      </w:r>
      <w:r>
        <w:rPr>
          <w:rFonts w:hint="eastAsia" w:ascii="宋体" w:hAnsi="宋体" w:eastAsia="宋体" w:cs="宋体"/>
          <w:color w:val="auto"/>
          <w:sz w:val="24"/>
        </w:rPr>
        <w:t>% (</w:t>
      </w:r>
      <w:r>
        <w:rPr>
          <w:rFonts w:hint="eastAsia" w:ascii="宋体" w:hAnsi="宋体" w:eastAsia="宋体" w:cs="宋体"/>
          <w:i/>
          <w:iCs/>
          <w:color w:val="auto"/>
          <w:sz w:val="24"/>
        </w:rPr>
        <w:t>k</w:t>
      </w:r>
      <w:r>
        <w:rPr>
          <w:rFonts w:hint="eastAsia" w:ascii="宋体" w:hAnsi="宋体" w:eastAsia="宋体" w:cs="宋体"/>
          <w:color w:val="auto"/>
          <w:sz w:val="24"/>
        </w:rPr>
        <w:t>=2)</w:t>
      </w:r>
      <w:r>
        <w:rPr>
          <w:rFonts w:hint="eastAsia" w:ascii="Times New Roman" w:hAnsi="Times New Roman" w:cs="Times New Roman"/>
          <w:sz w:val="24"/>
        </w:rPr>
        <w:t>。</w:t>
      </w:r>
    </w:p>
    <w:p>
      <w:pPr>
        <w:spacing w:line="24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1.4、被测对象：防伪纸</w:t>
      </w:r>
      <w:r>
        <w:rPr>
          <w:rFonts w:hint="eastAsia" w:ascii="Times New Roman" w:hAnsi="Times New Roman" w:cs="Times New Roman"/>
          <w:sz w:val="24"/>
          <w:lang w:eastAsia="zh-CN"/>
        </w:rPr>
        <w:t>挺度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hint="eastAsia" w:ascii="宋体" w:hAnsi="宋体" w:eastAsia="宋体" w:cs="宋体"/>
          <w:sz w:val="24"/>
          <w:lang w:val="en-US" w:eastAsia="zh-CN"/>
        </w:rPr>
        <w:t>（5-8）mN.m(</w:t>
      </w:r>
      <w:r>
        <w:rPr>
          <w:rFonts w:hint="eastAsia" w:ascii="宋体" w:hAnsi="宋体" w:eastAsia="宋体" w:cs="宋体"/>
          <w:sz w:val="24"/>
        </w:rPr>
        <w:t>即平均</w:t>
      </w:r>
      <w:r>
        <w:rPr>
          <w:rFonts w:hint="eastAsia" w:ascii="宋体" w:hAnsi="宋体" w:eastAsia="宋体" w:cs="宋体"/>
          <w:sz w:val="24"/>
          <w:lang w:eastAsia="zh-CN"/>
        </w:rPr>
        <w:t>挺</w:t>
      </w:r>
      <w:r>
        <w:rPr>
          <w:rFonts w:hint="eastAsia" w:ascii="宋体" w:hAnsi="宋体" w:eastAsia="宋体" w:cs="宋体"/>
          <w:sz w:val="24"/>
        </w:rPr>
        <w:t>力（</w:t>
      </w:r>
      <w:r>
        <w:rPr>
          <w:rFonts w:hint="eastAsia" w:ascii="宋体" w:hAnsi="宋体" w:eastAsia="宋体" w:cs="宋体"/>
          <w:sz w:val="24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</w:rPr>
        <w:t>-</w:t>
      </w:r>
      <w:r>
        <w:rPr>
          <w:rFonts w:hint="eastAsia" w:ascii="宋体" w:hAnsi="宋体" w:eastAsia="宋体" w:cs="宋体"/>
          <w:sz w:val="24"/>
          <w:lang w:val="en-US" w:eastAsia="zh-CN"/>
        </w:rPr>
        <w:t>160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  <w:lang w:val="en-US" w:eastAsia="zh-CN"/>
        </w:rPr>
        <w:t>mN)。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Ansi="宋体"/>
          <w:sz w:val="24"/>
        </w:rPr>
      </w:pPr>
      <w:r>
        <w:rPr>
          <w:sz w:val="24"/>
        </w:rPr>
        <w:t>1.5、测量过程：</w:t>
      </w:r>
      <w:r>
        <w:rPr>
          <w:rFonts w:ascii="Times New Roman" w:hAnsi="Times New Roman"/>
          <w:spacing w:val="0"/>
          <w:sz w:val="24"/>
          <w:szCs w:val="24"/>
        </w:rPr>
        <w:t>按照</w:t>
      </w:r>
      <w:r>
        <w:rPr>
          <w:rFonts w:hint="eastAsia" w:ascii="宋体" w:hAnsi="宋体" w:eastAsia="宋体" w:cs="宋体"/>
          <w:bCs/>
          <w:spacing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Cs/>
          <w:spacing w:val="0"/>
          <w:sz w:val="24"/>
          <w:szCs w:val="24"/>
          <w:lang w:val="en-US" w:eastAsia="zh-CN"/>
        </w:rPr>
        <w:t xml:space="preserve">GB/T 22364 </w:t>
      </w:r>
      <w:r>
        <w:rPr>
          <w:rFonts w:hint="eastAsia" w:ascii="Times New Roman" w:hAnsi="Times New Roman" w:eastAsia="宋体" w:cs="Times New Roman"/>
          <w:bCs/>
          <w:spacing w:val="0"/>
          <w:sz w:val="24"/>
          <w:szCs w:val="24"/>
          <w:lang w:val="en-US" w:eastAsia="zh-CN"/>
        </w:rPr>
        <w:t>纸和纸板弯曲挺度的测定</w:t>
      </w:r>
      <w:r>
        <w:rPr>
          <w:rFonts w:ascii="Times New Roman" w:hAnsi="Times New Roman"/>
          <w:spacing w:val="0"/>
          <w:sz w:val="24"/>
          <w:szCs w:val="24"/>
        </w:rPr>
        <w:t>，取样制成符合要求的试样。接通电源，</w:t>
      </w:r>
      <w:r>
        <w:rPr>
          <w:rFonts w:ascii="Times New Roman" w:hAnsi="Times New Roman"/>
          <w:color w:val="333333"/>
          <w:spacing w:val="0"/>
          <w:sz w:val="24"/>
          <w:szCs w:val="24"/>
        </w:rPr>
        <w:t>根据</w:t>
      </w:r>
      <w:r>
        <w:rPr>
          <w:rFonts w:hint="eastAsia" w:ascii="Times New Roman" w:hAnsi="Times New Roman"/>
          <w:color w:val="333333"/>
          <w:spacing w:val="0"/>
          <w:sz w:val="24"/>
          <w:szCs w:val="24"/>
          <w:lang w:eastAsia="zh-CN"/>
        </w:rPr>
        <w:t>启动仪器</w:t>
      </w:r>
      <w:r>
        <w:rPr>
          <w:rFonts w:ascii="Times New Roman" w:hAnsi="Times New Roman"/>
          <w:color w:val="333333"/>
          <w:spacing w:val="0"/>
          <w:sz w:val="24"/>
          <w:szCs w:val="24"/>
        </w:rPr>
        <w:t>→显示器→</w:t>
      </w:r>
      <w:r>
        <w:rPr>
          <w:rFonts w:hint="eastAsia" w:ascii="Times New Roman" w:hAnsi="Times New Roman"/>
          <w:color w:val="333333"/>
          <w:spacing w:val="0"/>
          <w:sz w:val="24"/>
          <w:szCs w:val="24"/>
          <w:lang w:eastAsia="zh-CN"/>
        </w:rPr>
        <w:t>清零</w:t>
      </w:r>
      <w:r>
        <w:rPr>
          <w:rFonts w:ascii="Times New Roman" w:hAnsi="Times New Roman"/>
          <w:color w:val="333333"/>
          <w:spacing w:val="0"/>
          <w:sz w:val="24"/>
          <w:szCs w:val="24"/>
        </w:rPr>
        <w:t>，</w:t>
      </w:r>
      <w:r>
        <w:rPr>
          <w:rFonts w:ascii="Times New Roman" w:hAnsi="Times New Roman"/>
          <w:bCs/>
          <w:spacing w:val="0"/>
          <w:sz w:val="24"/>
          <w:szCs w:val="24"/>
        </w:rPr>
        <w:t>检查设备是否正常。再</w:t>
      </w:r>
      <w:r>
        <w:rPr>
          <w:rFonts w:ascii="Times New Roman" w:hAnsi="Times New Roman"/>
          <w:color w:val="333333"/>
          <w:spacing w:val="0"/>
          <w:kern w:val="0"/>
          <w:sz w:val="24"/>
          <w:szCs w:val="24"/>
        </w:rPr>
        <w:t>选择要做的试验方案，输入试样</w:t>
      </w:r>
      <w:r>
        <w:rPr>
          <w:rFonts w:hint="eastAsia" w:ascii="Times New Roman" w:hAnsi="Times New Roman"/>
          <w:color w:val="333333"/>
          <w:spacing w:val="0"/>
          <w:kern w:val="0"/>
          <w:sz w:val="24"/>
          <w:szCs w:val="24"/>
          <w:lang w:eastAsia="zh-CN"/>
        </w:rPr>
        <w:t>纸张测试方向</w:t>
      </w:r>
      <w:r>
        <w:rPr>
          <w:rFonts w:ascii="Times New Roman" w:hAnsi="Times New Roman"/>
          <w:color w:val="333333"/>
          <w:spacing w:val="0"/>
          <w:kern w:val="0"/>
          <w:sz w:val="24"/>
          <w:szCs w:val="24"/>
        </w:rPr>
        <w:t>。将试样夹持在试验机上，进入试验状态，直至</w:t>
      </w:r>
      <w:r>
        <w:rPr>
          <w:rFonts w:ascii="Times New Roman" w:hAnsi="Times New Roman"/>
          <w:bCs/>
          <w:spacing w:val="0"/>
          <w:sz w:val="24"/>
          <w:szCs w:val="24"/>
        </w:rPr>
        <w:t>试验结束并自动采集试验信息。试验完成后，</w:t>
      </w:r>
      <w:r>
        <w:rPr>
          <w:rFonts w:ascii="Times New Roman" w:hAnsi="Times New Roman"/>
          <w:color w:val="333333"/>
          <w:spacing w:val="0"/>
          <w:kern w:val="0"/>
          <w:sz w:val="24"/>
          <w:szCs w:val="24"/>
        </w:rPr>
        <w:t>先取下试样</w:t>
      </w:r>
      <w:r>
        <w:rPr>
          <w:rFonts w:ascii="Times New Roman" w:hAnsi="Times New Roman"/>
          <w:spacing w:val="0"/>
          <w:sz w:val="24"/>
          <w:szCs w:val="24"/>
        </w:rPr>
        <w:t>，记录实验数据。</w:t>
      </w:r>
    </w:p>
    <w:p>
      <w:pPr>
        <w:autoSpaceDE w:val="0"/>
        <w:autoSpaceDN w:val="0"/>
        <w:adjustRightInd w:val="0"/>
        <w:spacing w:line="360" w:lineRule="auto"/>
        <w:jc w:val="left"/>
        <w:rPr>
          <w:color w:val="auto"/>
          <w:sz w:val="24"/>
        </w:rPr>
      </w:pPr>
      <w:r>
        <w:rPr>
          <w:b/>
          <w:bCs/>
          <w:color w:val="auto"/>
          <w:sz w:val="24"/>
        </w:rPr>
        <w:t>2、数学模型：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color w:val="auto"/>
          <w:kern w:val="0"/>
          <w:sz w:val="24"/>
        </w:rPr>
      </w:pPr>
      <w:r>
        <w:rPr>
          <w:color w:val="auto"/>
          <w:sz w:val="24"/>
        </w:rPr>
        <w:t xml:space="preserve">    </w:t>
      </w:r>
      <m:oMath>
        <m:r>
          <w:rPr>
            <w:rFonts w:ascii="Cambria Math"/>
            <w:color w:val="auto"/>
            <w:sz w:val="24"/>
          </w:rPr>
          <m:t>ΔL=L</m:t>
        </m:r>
      </m:oMath>
      <w:r>
        <w:rPr>
          <w:color w:val="auto"/>
          <w:sz w:val="24"/>
        </w:rPr>
        <w:t xml:space="preserve">                             </w:t>
      </w:r>
      <w:r>
        <w:rPr>
          <w:color w:val="auto"/>
          <w:kern w:val="0"/>
          <w:sz w:val="24"/>
        </w:rPr>
        <w:t>（1）</w:t>
      </w:r>
    </w:p>
    <w:p>
      <w:pPr>
        <w:spacing w:line="360" w:lineRule="auto"/>
        <w:ind w:left="120"/>
        <w:rPr>
          <w:rFonts w:hint="eastAsia" w:eastAsia="宋体"/>
          <w:color w:val="auto"/>
          <w:sz w:val="24"/>
          <w:lang w:eastAsia="zh-CN"/>
        </w:rPr>
      </w:pPr>
      <w:r>
        <w:rPr>
          <w:color w:val="auto"/>
          <w:sz w:val="24"/>
        </w:rPr>
        <w:t xml:space="preserve">          式中：</w:t>
      </w:r>
      <m:oMath>
        <m:r>
          <w:rPr>
            <w:rFonts w:ascii="Cambria Math"/>
            <w:color w:val="auto"/>
            <w:sz w:val="24"/>
          </w:rPr>
          <m:t>ΔL</m:t>
        </m:r>
      </m:oMath>
      <w:r>
        <w:rPr>
          <w:color w:val="auto"/>
          <w:sz w:val="24"/>
        </w:rPr>
        <w:t xml:space="preserve"> ---被测</w:t>
      </w:r>
      <w:r>
        <w:rPr>
          <w:rFonts w:hint="eastAsia"/>
          <w:color w:val="auto"/>
          <w:sz w:val="24"/>
          <w:lang w:eastAsia="zh-CN"/>
        </w:rPr>
        <w:t>纸张挺力值</w:t>
      </w:r>
    </w:p>
    <w:p>
      <w:pPr>
        <w:numPr>
          <w:ilvl w:val="0"/>
          <w:numId w:val="1"/>
        </w:numPr>
        <w:spacing w:line="360" w:lineRule="auto"/>
        <w:ind w:firstLine="2160" w:firstLineChars="900"/>
        <w:rPr>
          <w:color w:val="auto"/>
          <w:sz w:val="24"/>
        </w:rPr>
      </w:pPr>
      <w:r>
        <w:rPr>
          <w:color w:val="auto"/>
          <w:sz w:val="24"/>
        </w:rPr>
        <w:t>--</w:t>
      </w:r>
      <w:r>
        <w:rPr>
          <w:rFonts w:hint="eastAsia" w:ascii="Times New Roman" w:hAnsi="Times New Roman" w:cs="Times New Roman"/>
          <w:color w:val="auto"/>
          <w:sz w:val="24"/>
        </w:rPr>
        <w:t>卧式电脑挺度测试仪</w:t>
      </w:r>
      <w:r>
        <w:rPr>
          <w:rFonts w:hint="eastAsia" w:cs="Times New Roman"/>
          <w:color w:val="auto"/>
          <w:sz w:val="24"/>
          <w:lang w:eastAsia="zh-CN"/>
        </w:rPr>
        <w:t>挺力</w:t>
      </w:r>
      <w:r>
        <w:rPr>
          <w:color w:val="auto"/>
          <w:sz w:val="24"/>
        </w:rPr>
        <w:t>读数值</w:t>
      </w:r>
    </w:p>
    <w:p>
      <w:pPr>
        <w:spacing w:line="360" w:lineRule="auto"/>
        <w:ind w:left="482" w:hanging="482" w:hangingChars="200"/>
        <w:rPr>
          <w:color w:val="auto"/>
          <w:sz w:val="24"/>
        </w:rPr>
      </w:pPr>
      <w:r>
        <w:rPr>
          <w:b/>
          <w:color w:val="auto"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bCs/>
          <w:color w:val="auto"/>
          <w:sz w:val="24"/>
        </w:rPr>
      </w:pPr>
      <w:r>
        <w:rPr>
          <w:color w:val="auto"/>
          <w:sz w:val="24"/>
        </w:rPr>
        <w:t>输入量的不确定度来源主要是：测量重复性引起的不确定度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u</m:t>
            </m: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e>
          <m:sub>
            <m:r>
              <w:rPr>
                <w:rFonts w:ascii="Cambria Math" w:hAnsi="Cambria Math"/>
                <w:color w:val="auto"/>
                <w:sz w:val="24"/>
              </w:rPr>
              <m:t>1</m:t>
            </m: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ub>
        </m:sSub>
      </m:oMath>
      <w:r>
        <w:rPr>
          <w:b/>
          <w:bCs/>
          <w:color w:val="auto"/>
          <w:sz w:val="24"/>
        </w:rPr>
        <w:t>；</w:t>
      </w:r>
      <w:r>
        <w:rPr>
          <w:bCs/>
          <w:color w:val="auto"/>
          <w:sz w:val="24"/>
        </w:rPr>
        <w:t>测量设备</w:t>
      </w:r>
      <w:r>
        <w:rPr>
          <w:color w:val="auto"/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u</m:t>
            </m: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e>
          <m:sub>
            <m:r>
              <w:rPr>
                <w:rFonts w:ascii="Cambria Math" w:hAnsi="Cambria Math"/>
                <w:color w:val="auto"/>
                <w:sz w:val="24"/>
              </w:rPr>
              <m:t>2</m:t>
            </m: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ub>
        </m:sSub>
      </m:oMath>
      <w:r>
        <w:rPr>
          <w:bCs/>
          <w:color w:val="auto"/>
          <w:sz w:val="24"/>
        </w:rPr>
        <w:t>。</w:t>
      </w:r>
    </w:p>
    <w:p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3.1测量重复性引入的标准不确定度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u</m:t>
            </m: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e>
          <m:sub>
            <m:r>
              <w:rPr>
                <w:rFonts w:ascii="Cambria Math" w:hAnsi="Cambria Math"/>
                <w:color w:val="auto"/>
                <w:sz w:val="24"/>
              </w:rPr>
              <m:t>1</m:t>
            </m: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ub>
        </m:sSub>
      </m:oMath>
      <w:r>
        <w:rPr>
          <w:color w:val="auto"/>
          <w:sz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color w:val="auto"/>
          <w:sz w:val="24"/>
        </w:rPr>
      </w:pPr>
      <w:r>
        <w:rPr>
          <w:color w:val="auto"/>
          <w:sz w:val="24"/>
        </w:rPr>
        <w:t>输入量的不确定度</w:t>
      </w:r>
      <w:r>
        <w:rPr>
          <w:i/>
          <w:iCs/>
          <w:color w:val="auto"/>
          <w:sz w:val="24"/>
        </w:rPr>
        <w:t>u</w:t>
      </w:r>
      <w:r>
        <w:rPr>
          <w:color w:val="auto"/>
          <w:sz w:val="24"/>
          <w:vertAlign w:val="subscript"/>
        </w:rPr>
        <w:t>1</w:t>
      </w:r>
      <w:r>
        <w:rPr>
          <w:color w:val="auto"/>
          <w:sz w:val="24"/>
        </w:rPr>
        <w:t>主要来源于测量重复性，通过连续测量10次，采用A类方法进行评定。在</w:t>
      </w:r>
      <w:r>
        <w:rPr>
          <w:rFonts w:hint="eastAsia" w:ascii="Times New Roman" w:hAnsi="Times New Roman" w:cs="Times New Roman"/>
          <w:color w:val="auto"/>
          <w:sz w:val="24"/>
        </w:rPr>
        <w:t>卧式电脑挺度测试仪</w:t>
      </w:r>
      <w:r>
        <w:rPr>
          <w:color w:val="auto"/>
          <w:sz w:val="24"/>
        </w:rPr>
        <w:t>的正常工作状态下，人员、设备相同，在相临近的时间内，连续进行10次测量活动，得到10个试验数据汇于表一。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color w:val="auto"/>
          <w:sz w:val="24"/>
        </w:rPr>
      </w:pPr>
      <w:r>
        <w:rPr>
          <w:color w:val="auto"/>
          <w:kern w:val="0"/>
          <w:sz w:val="24"/>
        </w:rPr>
        <w:t>表一</w:t>
      </w:r>
      <w:r>
        <w:rPr>
          <w:color w:val="auto"/>
          <w:sz w:val="24"/>
        </w:rPr>
        <w:t xml:space="preserve">                                         </w:t>
      </w:r>
    </w:p>
    <w:tbl>
      <w:tblPr>
        <w:tblStyle w:val="6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706"/>
        <w:gridCol w:w="707"/>
        <w:gridCol w:w="684"/>
        <w:gridCol w:w="699"/>
        <w:gridCol w:w="699"/>
        <w:gridCol w:w="699"/>
        <w:gridCol w:w="699"/>
        <w:gridCol w:w="699"/>
        <w:gridCol w:w="699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测试次数n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L测得值(mN)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</w:tr>
    </w:tbl>
    <w:p>
      <w:pPr>
        <w:spacing w:line="360" w:lineRule="auto"/>
        <w:ind w:firstLine="720" w:firstLineChars="300"/>
        <w:rPr>
          <w:color w:val="auto"/>
          <w:sz w:val="24"/>
        </w:rPr>
      </w:pPr>
      <w:r>
        <w:rPr>
          <w:color w:val="auto"/>
          <w:sz w:val="24"/>
        </w:rPr>
        <w:t xml:space="preserve">测得值的算术平均值： </w:t>
      </w:r>
    </w:p>
    <w:p>
      <w:pPr>
        <w:spacing w:line="360" w:lineRule="auto"/>
        <w:ind w:firstLine="1680" w:firstLineChars="700"/>
        <w:rPr>
          <w:color w:val="auto"/>
          <w:sz w:val="24"/>
        </w:rPr>
      </w:pPr>
      <w:r>
        <w:rPr>
          <w:color w:val="auto"/>
          <w:position w:val="-4"/>
          <w:sz w:val="24"/>
        </w:rPr>
        <w:object>
          <v:shape id="_x0000_i1025" o:spt="75" type="#_x0000_t75" style="height:15pt;width:9.6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color w:val="auto"/>
          <w:sz w:val="24"/>
        </w:rPr>
        <w:t xml:space="preserve"> = </w:t>
      </w:r>
      <w:r>
        <w:rPr>
          <w:color w:val="auto"/>
          <w:position w:val="-28"/>
          <w:sz w:val="24"/>
        </w:rPr>
        <w:object>
          <v:shape id="_x0000_i1026" o:spt="75" type="#_x0000_t75" style="height:33.6pt;width:39.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color w:val="auto"/>
          <w:sz w:val="24"/>
        </w:rPr>
        <w:t>=</w:t>
      </w:r>
      <w:r>
        <w:rPr>
          <w:rFonts w:hint="eastAsia"/>
          <w:color w:val="auto"/>
          <w:sz w:val="24"/>
          <w:lang w:val="en-US" w:eastAsia="zh-CN"/>
        </w:rPr>
        <w:t>136.5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mN</w:t>
      </w:r>
      <w:r>
        <w:rPr>
          <w:color w:val="auto"/>
          <w:sz w:val="24"/>
        </w:rPr>
        <w:t xml:space="preserve"> </w:t>
      </w:r>
    </w:p>
    <w:p>
      <w:pPr>
        <w:spacing w:line="360" w:lineRule="auto"/>
        <w:ind w:firstLine="720" w:firstLineChars="3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单个测量值的实验标准差：</w:t>
      </w:r>
    </w:p>
    <w:p>
      <w:pPr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 xml:space="preserve">           </w:t>
      </w:r>
      <w:r>
        <w:rPr>
          <w:color w:val="auto"/>
          <w:sz w:val="24"/>
        </w:rPr>
        <w:t>S=</w:t>
      </w:r>
      <w:r>
        <w:rPr>
          <w:color w:val="auto"/>
          <w:position w:val="-32"/>
          <w:sz w:val="24"/>
        </w:rPr>
        <w:object>
          <v:shape id="_x0000_i1027" o:spt="75" type="#_x0000_t75" style="height:55.2pt;width:71.4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color w:val="auto"/>
          <w:sz w:val="24"/>
        </w:rPr>
        <w:t>=0.</w:t>
      </w:r>
      <w:r>
        <w:rPr>
          <w:rFonts w:hint="eastAsia"/>
          <w:color w:val="auto"/>
          <w:sz w:val="24"/>
          <w:lang w:val="en-US" w:eastAsia="zh-CN"/>
        </w:rPr>
        <w:t>85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mN</w:t>
      </w:r>
      <w:r>
        <w:rPr>
          <w:color w:val="auto"/>
          <w:sz w:val="24"/>
        </w:rPr>
        <w:t xml:space="preserve"> </w: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eastAsia="宋体"/>
          <w:color w:val="auto"/>
          <w:kern w:val="0"/>
          <w:sz w:val="24"/>
          <w:lang w:val="en-US" w:eastAsia="zh-CN"/>
        </w:rPr>
      </w:pPr>
      <w:r>
        <w:rPr>
          <w:color w:val="auto"/>
          <w:kern w:val="0"/>
          <w:sz w:val="24"/>
        </w:rPr>
        <w:t>被测量估计值（</w:t>
      </w:r>
      <m:oMath>
        <m:acc>
          <m:accPr>
            <m:chr m:val="̅"/>
            <m:ctrlPr>
              <w:rPr>
                <w:rFonts w:ascii="Cambria Math" w:hAnsi="Cambria Math"/>
                <w:color w:val="auto"/>
                <w:kern w:val="0"/>
                <w:sz w:val="24"/>
              </w:rPr>
            </m:ctrlPr>
          </m:accPr>
          <m:e>
            <m:r>
              <w:rPr>
                <w:rFonts w:ascii="Cambria Math" w:hAnsi="Cambria Math"/>
                <w:color w:val="auto"/>
                <w:kern w:val="0"/>
                <w:sz w:val="24"/>
              </w:rPr>
              <m:t>x</m:t>
            </m:r>
            <m:ctrlPr>
              <w:rPr>
                <w:rFonts w:ascii="Cambria Math" w:hAnsi="Cambria Math"/>
                <w:color w:val="auto"/>
                <w:kern w:val="0"/>
                <w:sz w:val="24"/>
              </w:rPr>
            </m:ctrlPr>
          </m:e>
        </m:acc>
      </m:oMath>
      <w:r>
        <w:rPr>
          <w:color w:val="auto"/>
          <w:kern w:val="0"/>
          <w:sz w:val="24"/>
        </w:rPr>
        <w:t>）标准不确定度分量</w:t>
      </w:r>
      <w:r>
        <w:rPr>
          <w:i/>
          <w:iCs/>
          <w:color w:val="auto"/>
          <w:sz w:val="24"/>
        </w:rPr>
        <w:t>u</w:t>
      </w:r>
      <w:r>
        <w:rPr>
          <w:color w:val="auto"/>
          <w:sz w:val="24"/>
          <w:vertAlign w:val="subscript"/>
        </w:rPr>
        <w:t>1</w:t>
      </w:r>
      <w:r>
        <w:rPr>
          <w:color w:val="auto"/>
          <w:kern w:val="0"/>
          <w:sz w:val="24"/>
        </w:rPr>
        <w:t>：</w:t>
      </w:r>
      <w:r>
        <w:rPr>
          <w:rFonts w:hint="eastAsia"/>
          <w:color w:val="auto"/>
          <w:kern w:val="0"/>
          <w:sz w:val="24"/>
          <w:lang w:val="en-US" w:eastAsia="zh-CN"/>
        </w:rPr>
        <w:t>平时只测1次。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840" w:firstLineChars="350"/>
        <w:rPr>
          <w:color w:val="auto"/>
          <w:sz w:val="24"/>
        </w:rPr>
      </w:pPr>
      <w:r>
        <w:rPr>
          <w:color w:val="auto"/>
          <w:kern w:val="0"/>
          <w:sz w:val="24"/>
        </w:rPr>
        <w:t xml:space="preserve">标准不确定度分量： </w:t>
      </w:r>
      <w:r>
        <w:rPr>
          <w:color w:val="auto"/>
          <w:kern w:val="0"/>
          <w:position w:val="-10"/>
          <w:sz w:val="24"/>
        </w:rPr>
        <w:object>
          <v:shape id="_x0000_i1028" o:spt="75" type="#_x0000_t75" style="height:16.8pt;width:1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color w:val="auto"/>
          <w:kern w:val="0"/>
          <w:sz w:val="24"/>
        </w:rPr>
        <w:t>=S=0.</w:t>
      </w:r>
      <w:r>
        <w:rPr>
          <w:rFonts w:hint="eastAsia"/>
          <w:color w:val="auto"/>
          <w:kern w:val="0"/>
          <w:sz w:val="24"/>
          <w:lang w:val="en-US" w:eastAsia="zh-CN"/>
        </w:rPr>
        <w:t>85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mN</w:t>
      </w:r>
      <w:r>
        <w:rPr>
          <w:color w:val="auto"/>
          <w:sz w:val="24"/>
        </w:rPr>
        <w:t xml:space="preserve">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color w:val="auto"/>
          <w:kern w:val="0"/>
          <w:sz w:val="24"/>
          <w:vertAlign w:val="subscript"/>
        </w:rPr>
      </w:pPr>
      <w:r>
        <w:rPr>
          <w:color w:val="auto"/>
          <w:kern w:val="0"/>
          <w:sz w:val="24"/>
        </w:rPr>
        <w:t>3.2、</w:t>
      </w:r>
      <w:r>
        <w:rPr>
          <w:color w:val="auto"/>
          <w:sz w:val="24"/>
        </w:rPr>
        <w:t>测量设备示值误差引入的</w:t>
      </w:r>
      <w:r>
        <w:rPr>
          <w:color w:val="auto"/>
          <w:kern w:val="0"/>
          <w:sz w:val="24"/>
        </w:rPr>
        <w:t>不确定度影响分量</w:t>
      </w:r>
      <w:r>
        <w:rPr>
          <w:color w:val="auto"/>
          <w:kern w:val="0"/>
          <w:position w:val="-10"/>
          <w:sz w:val="24"/>
        </w:rPr>
        <w:object>
          <v:shape id="_x0000_i1029" o:spt="75" type="#_x0000_t75" style="height:16.8pt;width:12.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pacing w:line="240" w:lineRule="auto"/>
        <w:ind w:firstLine="715" w:firstLineChars="298"/>
        <w:rPr>
          <w:color w:val="auto"/>
          <w:kern w:val="0"/>
          <w:sz w:val="24"/>
        </w:rPr>
      </w:pPr>
      <w:r>
        <w:rPr>
          <w:rFonts w:hint="eastAsia"/>
          <w:color w:val="auto"/>
          <w:sz w:val="24"/>
        </w:rPr>
        <w:t>测量用测量设备（</w:t>
      </w:r>
      <w:r>
        <w:rPr>
          <w:rFonts w:hint="eastAsia"/>
          <w:color w:val="auto"/>
          <w:sz w:val="24"/>
          <w:lang w:val="en-US" w:eastAsia="zh-CN"/>
        </w:rPr>
        <w:t>20</w:t>
      </w:r>
      <w:r>
        <w:rPr>
          <w:color w:val="auto"/>
          <w:sz w:val="24"/>
        </w:rPr>
        <w:t>~</w:t>
      </w:r>
      <w:r>
        <w:rPr>
          <w:rFonts w:hint="eastAsia"/>
          <w:color w:val="auto"/>
          <w:sz w:val="24"/>
          <w:lang w:val="en-US" w:eastAsia="zh-CN"/>
        </w:rPr>
        <w:t>10000</w:t>
      </w:r>
      <w:r>
        <w:rPr>
          <w:rFonts w:hint="eastAsia"/>
          <w:color w:val="auto"/>
          <w:sz w:val="24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mN</w:t>
      </w:r>
      <w:r>
        <w:rPr>
          <w:rFonts w:hint="eastAsia" w:ascii="Times New Roman" w:hAnsi="Times New Roman"/>
          <w:color w:val="auto"/>
          <w:sz w:val="24"/>
          <w:szCs w:val="24"/>
        </w:rPr>
        <w:t>卧式电脑挺度测试仪</w:t>
      </w:r>
      <w:r>
        <w:rPr>
          <w:rFonts w:hint="eastAsia"/>
          <w:color w:val="auto"/>
          <w:sz w:val="24"/>
        </w:rPr>
        <w:t>，其最大允许误差为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±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mN</w:t>
      </w:r>
      <w:r>
        <w:rPr>
          <w:rFonts w:hint="eastAsia" w:ascii="宋体"/>
          <w:color w:val="auto"/>
          <w:sz w:val="24"/>
        </w:rPr>
        <w:t>，</w:t>
      </w:r>
      <w:r>
        <w:rPr>
          <w:rFonts w:hint="eastAsia" w:ascii="宋体"/>
          <w:color w:val="auto"/>
          <w:sz w:val="24"/>
          <w:lang w:val="en-US" w:eastAsia="zh-CN"/>
        </w:rPr>
        <w:t>在160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mN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时误差为</w:t>
      </w:r>
      <w:r>
        <w:rPr>
          <w:rFonts w:hint="eastAsia" w:ascii="宋体" w:hAnsi="宋体" w:eastAsia="宋体" w:cs="宋体"/>
          <w:color w:val="auto"/>
          <w:sz w:val="24"/>
        </w:rPr>
        <w:t>±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%×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160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mN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=</w:t>
      </w:r>
      <w:r>
        <w:rPr>
          <w:rFonts w:hint="eastAsia" w:ascii="宋体" w:hAnsi="宋体" w:eastAsia="宋体" w:cs="宋体"/>
          <w:color w:val="auto"/>
          <w:sz w:val="24"/>
        </w:rPr>
        <w:t>±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mN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/>
          <w:color w:val="auto"/>
          <w:sz w:val="24"/>
        </w:rPr>
        <w:t>半宽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为a=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mN。</w:t>
      </w:r>
      <w:r>
        <w:rPr>
          <w:rFonts w:hint="eastAsia"/>
          <w:color w:val="auto"/>
          <w:sz w:val="24"/>
        </w:rPr>
        <w:t>服从均匀分布</w:t>
      </w:r>
      <w:r>
        <w:rPr>
          <w:rFonts w:hint="eastAsia"/>
          <w:color w:val="auto"/>
          <w:kern w:val="0"/>
          <w:sz w:val="24"/>
        </w:rPr>
        <w:t>，</w:t>
      </w:r>
      <w:r>
        <w:rPr>
          <w:rFonts w:hint="eastAsia" w:ascii="宋体"/>
          <w:color w:val="auto"/>
          <w:sz w:val="24"/>
        </w:rPr>
        <w:t>取</w:t>
      </w:r>
      <w:r>
        <w:rPr>
          <w:rFonts w:ascii="宋体"/>
          <w:i/>
          <w:iCs/>
          <w:color w:val="auto"/>
          <w:sz w:val="24"/>
        </w:rPr>
        <w:t>k</w:t>
      </w:r>
      <w:r>
        <w:rPr>
          <w:rFonts w:ascii="宋体"/>
          <w:color w:val="auto"/>
          <w:sz w:val="24"/>
        </w:rPr>
        <w:t>=</w:t>
      </w:r>
      <w:r>
        <w:rPr>
          <w:rFonts w:ascii="宋体"/>
          <w:color w:val="auto"/>
          <w:position w:val="-8"/>
          <w:sz w:val="24"/>
        </w:rPr>
        <w:object>
          <v:shape id="_x0000_i1030" o:spt="75" type="#_x0000_t75" style="height:18.6pt;width:18.6pt;" o:ole="t" fillcolor="#808080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rFonts w:hint="eastAsia" w:ascii="宋体"/>
          <w:color w:val="auto"/>
          <w:sz w:val="24"/>
        </w:rPr>
        <w:t>，</w:t>
      </w:r>
      <w:r>
        <w:rPr>
          <w:rFonts w:hint="eastAsia"/>
          <w:color w:val="auto"/>
          <w:kern w:val="0"/>
          <w:sz w:val="24"/>
        </w:rPr>
        <w:t>其标准不确定</w:t>
      </w:r>
      <w:r>
        <w:rPr>
          <w:rFonts w:hint="eastAsia"/>
          <w:color w:val="auto"/>
          <w:sz w:val="24"/>
        </w:rPr>
        <w:t>度</w:t>
      </w:r>
      <w:r>
        <w:rPr>
          <w:rFonts w:hint="eastAsia"/>
          <w:color w:val="auto"/>
          <w:kern w:val="0"/>
          <w:sz w:val="24"/>
        </w:rPr>
        <w:t>分量为：</w:t>
      </w:r>
    </w:p>
    <w:p>
      <w:pPr>
        <w:spacing w:line="324" w:lineRule="auto"/>
        <w:ind w:firstLine="715" w:firstLineChars="298"/>
        <w:rPr>
          <w:i/>
          <w:color w:val="auto"/>
          <w:sz w:val="24"/>
        </w:rPr>
      </w:pPr>
      <w:r>
        <w:rPr>
          <w:rFonts w:hint="eastAsia"/>
          <w:color w:val="auto"/>
          <w:kern w:val="0"/>
          <w:sz w:val="24"/>
        </w:rPr>
        <w:t xml:space="preserve"> </w:t>
      </w:r>
      <w:r>
        <w:rPr>
          <w:color w:val="auto"/>
          <w:kern w:val="0"/>
          <w:sz w:val="24"/>
        </w:rPr>
        <w:t xml:space="preserve">            </w:t>
      </w:r>
      <w:r>
        <w:rPr>
          <w:color w:val="auto"/>
          <w:kern w:val="0"/>
          <w:position w:val="-10"/>
          <w:sz w:val="24"/>
        </w:rPr>
        <w:object>
          <v:shape id="_x0000_i1031" o:spt="75" type="#_x0000_t75" style="height:16.8pt;width:12.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color w:val="auto"/>
          <w:kern w:val="0"/>
          <w:sz w:val="24"/>
        </w:rPr>
        <w:t>=</w:t>
      </w:r>
      <m:oMath>
        <m:f>
          <m:fPr>
            <m:ctrlPr>
              <w:rPr>
                <w:rFonts w:ascii="Cambria Math" w:hAnsi="Cambria Math"/>
                <w:color w:val="auto"/>
                <w:kern w:val="0"/>
                <w:sz w:val="24"/>
              </w:rPr>
            </m:ctrlPr>
          </m:fPr>
          <m:num>
            <m:r>
              <w:rPr>
                <w:rFonts w:hint="default" w:ascii="Cambria Math" w:hAnsi="Cambria Math"/>
                <w:color w:val="auto"/>
                <w:kern w:val="0"/>
                <w:sz w:val="24"/>
                <w:lang w:val="en-US" w:eastAsia="zh-CN"/>
              </w:rPr>
              <m:t>1.6</m:t>
            </m:r>
            <m:ctrlPr>
              <w:rPr>
                <w:rFonts w:ascii="Cambria Math" w:hAnsi="Cambria Math"/>
                <w:color w:val="auto"/>
                <w:kern w:val="0"/>
                <w:sz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  <w:kern w:val="0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color w:val="auto"/>
                    <w:kern w:val="0"/>
                    <w:sz w:val="24"/>
                  </w:rPr>
                </m:ctrlPr>
              </m:deg>
              <m:e>
                <m:r>
                  <w:rPr>
                    <w:rFonts w:ascii="Cambria Math" w:hAnsi="Cambria Math"/>
                    <w:color w:val="auto"/>
                    <w:kern w:val="0"/>
                    <w:sz w:val="24"/>
                  </w:rPr>
                  <m:t>3</m:t>
                </m:r>
                <m:ctrlPr>
                  <w:rPr>
                    <w:rFonts w:ascii="Cambria Math" w:hAnsi="Cambria Math"/>
                    <w:i/>
                    <w:color w:val="auto"/>
                    <w:kern w:val="0"/>
                    <w:sz w:val="24"/>
                  </w:rPr>
                </m:ctrlPr>
              </m:e>
            </m:rad>
            <m:ctrlPr>
              <w:rPr>
                <w:rFonts w:ascii="Cambria Math" w:hAnsi="Cambria Math"/>
                <w:color w:val="auto"/>
                <w:kern w:val="0"/>
                <w:sz w:val="24"/>
              </w:rPr>
            </m:ctrlPr>
          </m:den>
        </m:f>
      </m:oMath>
      <w:r>
        <w:rPr>
          <w:rFonts w:hint="eastAsia"/>
          <w:color w:val="auto"/>
          <w:kern w:val="0"/>
          <w:sz w:val="24"/>
        </w:rPr>
        <w:t>=</w:t>
      </w:r>
      <w:r>
        <w:rPr>
          <w:rFonts w:hint="eastAsia"/>
          <w:color w:val="auto"/>
          <w:kern w:val="0"/>
          <w:sz w:val="24"/>
          <w:lang w:val="en-US" w:eastAsia="zh-CN"/>
        </w:rPr>
        <w:t>0.92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mN</w:t>
      </w:r>
      <w:r>
        <w:rPr>
          <w:color w:val="auto"/>
          <w:sz w:val="24"/>
        </w:rPr>
        <w:t xml:space="preserve">  </w:t>
      </w:r>
    </w:p>
    <w:p>
      <w:pPr>
        <w:spacing w:line="360" w:lineRule="auto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4</w:t>
      </w:r>
      <w:r>
        <w:rPr>
          <w:rFonts w:hint="eastAsia"/>
          <w:b/>
          <w:bCs/>
          <w:color w:val="auto"/>
          <w:sz w:val="24"/>
        </w:rPr>
        <w:t>、</w:t>
      </w:r>
      <w:r>
        <w:rPr>
          <w:b/>
          <w:bCs/>
          <w:color w:val="auto"/>
          <w:sz w:val="24"/>
        </w:rPr>
        <w:t>标准不确定度汇总</w:t>
      </w:r>
    </w:p>
    <w:p>
      <w:p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4.1</w:t>
      </w:r>
      <w:r>
        <w:rPr>
          <w:color w:val="auto"/>
          <w:sz w:val="24"/>
        </w:rPr>
        <w:t>输入量的标准不确定度汇总于表2。</w:t>
      </w:r>
    </w:p>
    <w:p>
      <w:pPr>
        <w:spacing w:line="360" w:lineRule="auto"/>
        <w:jc w:val="center"/>
        <w:rPr>
          <w:color w:val="auto"/>
          <w:sz w:val="24"/>
        </w:rPr>
      </w:pPr>
      <w:r>
        <w:rPr>
          <w:color w:val="auto"/>
          <w:sz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标准不确定度</w:t>
            </w:r>
            <w:r>
              <w:rPr>
                <w:i/>
                <w:iCs/>
                <w:color w:val="auto"/>
                <w:sz w:val="24"/>
              </w:rPr>
              <w:t>u</w:t>
            </w:r>
            <w:r>
              <w:rPr>
                <w:i/>
                <w:iCs/>
                <w:color w:val="auto"/>
                <w:sz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0.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85</w:t>
            </w:r>
            <w:r>
              <w:rPr>
                <w:rFonts w:hint="eastAsia"/>
                <w:color w:val="auto"/>
                <w:sz w:val="24"/>
              </w:rPr>
              <w:t>mN</w:t>
            </w:r>
            <w:r>
              <w:rPr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标准不确定度</w:t>
            </w:r>
            <w:r>
              <w:rPr>
                <w:i/>
                <w:iCs/>
                <w:color w:val="auto"/>
                <w:sz w:val="24"/>
              </w:rPr>
              <w:t>u</w:t>
            </w:r>
            <w:r>
              <w:rPr>
                <w:i/>
                <w:iCs/>
                <w:color w:val="auto"/>
                <w:sz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0.92</w:t>
            </w:r>
            <w:r>
              <w:rPr>
                <w:rFonts w:hint="eastAsia"/>
                <w:color w:val="auto"/>
                <w:sz w:val="24"/>
              </w:rPr>
              <w:t>mN</w:t>
            </w:r>
            <w:r>
              <w:rPr>
                <w:color w:val="auto"/>
                <w:sz w:val="24"/>
              </w:rPr>
              <w:t xml:space="preserve"> </w:t>
            </w:r>
          </w:p>
        </w:tc>
      </w:tr>
    </w:tbl>
    <w:p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eastAsia="宋体"/>
          <w:color w:val="auto"/>
          <w:sz w:val="24"/>
          <w:vertAlign w:val="superscript"/>
          <w:lang w:val="en-US" w:eastAsia="zh-CN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  <w:vertAlign w:val="subscript"/>
              </w:rPr>
            </m:ctrlPr>
          </m:sSubPr>
          <m:e>
            <m:r>
              <w:rPr>
                <w:rFonts w:ascii="Cambria Math"/>
                <w:color w:val="auto"/>
                <w:sz w:val="24"/>
                <w:vertAlign w:val="subscript"/>
              </w:rPr>
              <m:t>u</m:t>
            </m:r>
            <m:ctrlPr>
              <w:rPr>
                <w:rFonts w:ascii="Cambria Math" w:hAnsi="Cambria Math"/>
                <w:i/>
                <w:color w:val="auto"/>
                <w:sz w:val="24"/>
                <w:vertAlign w:val="subscript"/>
              </w:rPr>
            </m:ctrlPr>
          </m:e>
          <m:sub>
            <m:r>
              <w:rPr>
                <w:rFonts w:ascii="Cambria Math"/>
                <w:color w:val="auto"/>
                <w:sz w:val="24"/>
                <w:vertAlign w:val="subscript"/>
              </w:rPr>
              <m:t>C</m:t>
            </m:r>
            <m:ctrlPr>
              <w:rPr>
                <w:rFonts w:ascii="Cambria Math" w:hAnsi="Cambria Math"/>
                <w:i/>
                <w:color w:val="auto"/>
                <w:sz w:val="24"/>
                <w:vertAlign w:val="subscript"/>
              </w:rPr>
            </m:ctrlPr>
          </m:sub>
        </m:sSub>
        <m:r>
          <w:rPr>
            <w:rFonts w:ascii="Cambria Math"/>
            <w:color w:val="auto"/>
            <w:sz w:val="24"/>
            <w:vertAlign w:val="subscript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auto"/>
                <w:sz w:val="24"/>
                <w:vertAlign w:val="subscript"/>
              </w:rPr>
            </m:ctrlPr>
          </m:radPr>
          <m:deg>
            <m:ctrlPr>
              <w:rPr>
                <w:rFonts w:ascii="Cambria Math" w:hAnsi="Cambria Math"/>
                <w:i/>
                <w:color w:val="auto"/>
                <w:sz w:val="24"/>
                <w:vertAlign w:val="subscript"/>
              </w:rPr>
            </m:ctrlPr>
          </m:deg>
          <m:e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sSubSupPr>
              <m:e>
                <m:r>
                  <w:rPr>
                    <w:rFonts w:ascii="Cambria Math"/>
                    <w:color w:val="auto"/>
                    <w:sz w:val="24"/>
                    <w:vertAlign w:val="subscript"/>
                  </w:rPr>
                  <m:t>u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e>
              <m:sub>
                <m:r>
                  <w:rPr>
                    <w:rFonts w:ascii="Cambria Math"/>
                    <w:color w:val="auto"/>
                    <w:sz w:val="24"/>
                    <w:vertAlign w:val="subscript"/>
                  </w:rPr>
                  <m:t>1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sub>
              <m:sup>
                <m:r>
                  <w:rPr>
                    <w:rFonts w:ascii="Cambria Math"/>
                    <w:color w:val="auto"/>
                    <w:sz w:val="24"/>
                    <w:vertAlign w:val="subscript"/>
                  </w:rPr>
                  <m:t>2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sup>
            </m:sSubSup>
            <m:r>
              <w:rPr>
                <w:rFonts w:ascii="Cambria Math"/>
                <w:color w:val="auto"/>
                <w:sz w:val="24"/>
                <w:vertAlign w:val="subscript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sSubSupPr>
              <m:e>
                <m:r>
                  <w:rPr>
                    <w:rFonts w:ascii="Cambria Math"/>
                    <w:color w:val="auto"/>
                    <w:sz w:val="24"/>
                    <w:vertAlign w:val="subscript"/>
                  </w:rPr>
                  <m:t>u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e>
              <m:sub>
                <m:r>
                  <w:rPr>
                    <w:rFonts w:ascii="Cambria Math"/>
                    <w:color w:val="auto"/>
                    <w:sz w:val="24"/>
                    <w:vertAlign w:val="subscript"/>
                  </w:rPr>
                  <m:t>2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sub>
              <m:sup>
                <m:r>
                  <w:rPr>
                    <w:rFonts w:ascii="Cambria Math"/>
                    <w:color w:val="auto"/>
                    <w:sz w:val="24"/>
                    <w:vertAlign w:val="subscript"/>
                  </w:rPr>
                  <m:t>2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sup>
            </m:sSubSup>
            <m:ctrlPr>
              <w:rPr>
                <w:rFonts w:ascii="Cambria Math" w:hAnsi="Cambria Math"/>
                <w:i/>
                <w:color w:val="auto"/>
                <w:sz w:val="24"/>
                <w:vertAlign w:val="subscript"/>
              </w:rPr>
            </m:ctrlPr>
          </m:e>
        </m:rad>
        <m:r>
          <w:rPr>
            <w:rFonts w:ascii="Cambria Math"/>
            <w:color w:val="auto"/>
            <w:sz w:val="24"/>
            <w:vertAlign w:val="subscript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auto"/>
                <w:sz w:val="24"/>
                <w:vertAlign w:val="subscript"/>
              </w:rPr>
            </m:ctrlPr>
          </m:radPr>
          <m:deg>
            <m:ctrlPr>
              <w:rPr>
                <w:rFonts w:ascii="Cambria Math" w:hAnsi="Cambria Math"/>
                <w:i/>
                <w:color w:val="auto"/>
                <w:sz w:val="24"/>
                <w:vertAlign w:val="subscript"/>
              </w:rPr>
            </m:ctrlPr>
          </m:deg>
          <m:e>
            <m:r>
              <w:rPr>
                <w:rFonts w:ascii="Cambria Math"/>
                <w:color w:val="auto"/>
                <w:sz w:val="24"/>
                <w:vertAlign w:val="subscript"/>
              </w:rPr>
              <m:t>0.</m:t>
            </m: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sSupPr>
              <m:e>
                <m:r>
                  <w:rPr>
                    <w:rFonts w:hint="default" w:ascii="Cambria Math" w:hAnsi="Cambria Math"/>
                    <w:color w:val="auto"/>
                    <w:sz w:val="24"/>
                    <w:vertAlign w:val="subscript"/>
                    <w:lang w:val="en-US" w:eastAsia="zh-CN"/>
                  </w:rPr>
                  <m:t>85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e>
              <m:sup>
                <m:r>
                  <w:rPr>
                    <w:rFonts w:ascii="Cambria Math"/>
                    <w:color w:val="auto"/>
                    <w:sz w:val="24"/>
                    <w:vertAlign w:val="subscript"/>
                  </w:rPr>
                  <m:t>2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sup>
            </m:sSup>
            <m:r>
              <w:rPr>
                <w:rFonts w:ascii="Cambria Math"/>
                <w:color w:val="auto"/>
                <w:sz w:val="24"/>
                <w:vertAlign w:val="subscript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sSupPr>
              <m:e>
                <m:r>
                  <w:rPr>
                    <w:rFonts w:hint="default" w:ascii="Cambria Math"/>
                    <w:color w:val="auto"/>
                    <w:sz w:val="24"/>
                    <w:vertAlign w:val="subscript"/>
                    <w:lang w:val="en-US" w:eastAsia="zh-CN"/>
                  </w:rPr>
                  <m:t>0.92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e>
              <m:sup>
                <m:r>
                  <w:rPr>
                    <w:rFonts w:ascii="Cambria Math"/>
                    <w:color w:val="auto"/>
                    <w:sz w:val="24"/>
                    <w:vertAlign w:val="subscript"/>
                  </w:rPr>
                  <m:t>2</m:t>
                </m:r>
                <m:ctrlPr>
                  <w:rPr>
                    <w:rFonts w:ascii="Cambria Math" w:hAnsi="Cambria Math"/>
                    <w:i/>
                    <w:color w:val="auto"/>
                    <w:sz w:val="24"/>
                    <w:vertAlign w:val="subscript"/>
                  </w:rPr>
                </m:ctrlPr>
              </m:sup>
            </m:sSup>
            <m:ctrlPr>
              <w:rPr>
                <w:rFonts w:ascii="Cambria Math" w:hAnsi="Cambria Math"/>
                <w:i/>
                <w:color w:val="auto"/>
                <w:sz w:val="24"/>
                <w:vertAlign w:val="subscript"/>
              </w:rPr>
            </m:ctrlPr>
          </m:e>
        </m:rad>
        <m:r>
          <m:rPr>
            <m:sty m:val="p"/>
          </m:rPr>
          <w:rPr>
            <w:rFonts w:hint="eastAsia" w:ascii="Cambria Math" w:hAnsi="Cambria Math"/>
            <w:color w:val="auto"/>
            <w:sz w:val="24"/>
            <w:vertAlign w:val="subscript"/>
          </w:rPr>
          <m:t>=</m:t>
        </m:r>
        <m:r>
          <m:rPr>
            <m:sty m:val="p"/>
          </m:rPr>
          <w:rPr>
            <w:rFonts w:hint="default" w:ascii="Cambria Math" w:hAnsi="Cambria Math"/>
            <w:color w:val="auto"/>
            <w:sz w:val="24"/>
            <w:vertAlign w:val="subscript"/>
            <w:lang w:val="en-US" w:eastAsia="zh-CN"/>
          </w:rPr>
          <m:t>1.255</m:t>
        </m:r>
        <m:r>
          <m:rPr>
            <m:sty m:val="p"/>
          </m:rPr>
          <w:rPr>
            <w:rFonts w:hint="eastAsia"/>
            <w:color w:val="auto"/>
            <w:sz w:val="24"/>
          </w:rPr>
          <m:t>mN</m:t>
        </m:r>
      </m:oMath>
      <w:r>
        <w:rPr>
          <w:rFonts w:hint="eastAsia"/>
          <w:b w:val="0"/>
          <w:i w:val="0"/>
          <w:color w:val="auto"/>
          <w:sz w:val="24"/>
        </w:rPr>
        <w:t>≈</w:t>
      </w:r>
      <w:r>
        <w:rPr>
          <w:rFonts w:hint="eastAsia"/>
          <w:b w:val="0"/>
          <w:i w:val="0"/>
          <w:color w:val="auto"/>
          <w:sz w:val="24"/>
          <w:lang w:val="en-US" w:eastAsia="zh-CN"/>
        </w:rPr>
        <w:t>1.26mN</w:t>
      </w:r>
    </w:p>
    <w:p>
      <w:pPr>
        <w:spacing w:line="360" w:lineRule="auto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5、扩展不确定度的计算</w:t>
      </w:r>
    </w:p>
    <w:p>
      <w:pPr>
        <w:spacing w:line="360" w:lineRule="auto"/>
        <w:ind w:left="360"/>
        <w:rPr>
          <w:color w:val="auto"/>
          <w:sz w:val="24"/>
        </w:rPr>
      </w:pPr>
      <w:r>
        <w:rPr>
          <w:color w:val="auto"/>
          <w:sz w:val="24"/>
        </w:rPr>
        <w:t>取</w:t>
      </w:r>
      <w:r>
        <w:rPr>
          <w:color w:val="auto"/>
          <w:kern w:val="0"/>
          <w:sz w:val="24"/>
        </w:rPr>
        <w:t>包含因子</w:t>
      </w:r>
      <w:r>
        <w:rPr>
          <w:i/>
          <w:color w:val="auto"/>
          <w:kern w:val="0"/>
          <w:sz w:val="24"/>
        </w:rPr>
        <w:t>k</w:t>
      </w:r>
      <w:r>
        <w:rPr>
          <w:i/>
          <w:iCs/>
          <w:color w:val="auto"/>
          <w:kern w:val="0"/>
          <w:sz w:val="24"/>
        </w:rPr>
        <w:t xml:space="preserve"> </w:t>
      </w:r>
      <w:r>
        <w:rPr>
          <w:color w:val="auto"/>
          <w:kern w:val="0"/>
          <w:sz w:val="24"/>
        </w:rPr>
        <w:t>= 2，</w:t>
      </w:r>
      <w:r>
        <w:rPr>
          <w:i/>
          <w:color w:val="auto"/>
          <w:sz w:val="24"/>
        </w:rPr>
        <w:t xml:space="preserve"> </w:t>
      </w:r>
      <w:r>
        <w:rPr>
          <w:color w:val="auto"/>
          <w:sz w:val="24"/>
        </w:rPr>
        <w:t>得</w:t>
      </w:r>
    </w:p>
    <w:p>
      <w:pPr>
        <w:widowControl/>
        <w:adjustRightInd w:val="0"/>
        <w:spacing w:line="360" w:lineRule="auto"/>
        <w:ind w:firstLine="1920" w:firstLineChars="800"/>
        <w:rPr>
          <w:color w:val="auto"/>
          <w:sz w:val="24"/>
        </w:rPr>
      </w:pPr>
      <w:r>
        <w:rPr>
          <w:i/>
          <w:color w:val="auto"/>
          <w:sz w:val="24"/>
        </w:rPr>
        <w:t>U</w:t>
      </w:r>
      <w:r>
        <w:rPr>
          <w:color w:val="auto"/>
          <w:sz w:val="24"/>
        </w:rPr>
        <w:t>=</w:t>
      </w:r>
      <w:r>
        <w:rPr>
          <w:i/>
          <w:color w:val="auto"/>
          <w:sz w:val="24"/>
        </w:rPr>
        <w:t>k</w:t>
      </w:r>
      <w:r>
        <w:rPr>
          <w:color w:val="auto"/>
          <w:sz w:val="24"/>
        </w:rPr>
        <w:t>·</w:t>
      </w:r>
      <w:r>
        <w:rPr>
          <w:i/>
          <w:color w:val="auto"/>
          <w:sz w:val="24"/>
        </w:rPr>
        <w:t>u</w:t>
      </w:r>
      <w:r>
        <w:rPr>
          <w:i/>
          <w:color w:val="auto"/>
          <w:sz w:val="24"/>
          <w:vertAlign w:val="subscript"/>
        </w:rPr>
        <w:t>c</w:t>
      </w:r>
      <w:r>
        <w:rPr>
          <w:color w:val="auto"/>
          <w:sz w:val="24"/>
        </w:rPr>
        <w:t xml:space="preserve"> =2×</w:t>
      </w:r>
      <w:r>
        <w:rPr>
          <w:rFonts w:hint="eastAsia"/>
          <w:color w:val="auto"/>
          <w:sz w:val="24"/>
          <w:lang w:val="en-US" w:eastAsia="zh-CN"/>
        </w:rPr>
        <w:t>1.26</w:t>
      </w:r>
      <w:r>
        <w:rPr>
          <w:color w:val="auto"/>
          <w:sz w:val="24"/>
        </w:rPr>
        <w:t>=</w:t>
      </w:r>
      <w:r>
        <w:rPr>
          <w:rFonts w:hint="eastAsia"/>
          <w:color w:val="auto"/>
          <w:sz w:val="24"/>
          <w:lang w:val="en-US" w:eastAsia="zh-CN"/>
        </w:rPr>
        <w:t>2.52</w:t>
      </w:r>
      <m:oMath>
        <m:r>
          <m:rPr>
            <m:sty m:val="p"/>
          </m:rPr>
          <w:rPr>
            <w:rFonts w:hint="eastAsia"/>
            <w:color w:val="auto"/>
            <w:sz w:val="24"/>
          </w:rPr>
          <m:t>mN</m:t>
        </m:r>
      </m:oMath>
    </w:p>
    <w:p>
      <w:pPr>
        <w:spacing w:line="360" w:lineRule="auto"/>
        <w:rPr>
          <w:color w:val="auto"/>
          <w:sz w:val="24"/>
        </w:rPr>
      </w:pPr>
      <w:r>
        <w:rPr>
          <w:b/>
          <w:bCs/>
          <w:color w:val="auto"/>
          <w:sz w:val="24"/>
        </w:rPr>
        <w:t xml:space="preserve">6、测量不确定度的报告与表示   </w:t>
      </w:r>
      <w:r>
        <w:rPr>
          <w:color w:val="auto"/>
          <w:sz w:val="24"/>
        </w:rPr>
        <w:t xml:space="preserve">  </w:t>
      </w:r>
    </w:p>
    <w:p>
      <w:pPr>
        <w:widowControl/>
        <w:adjustRightInd w:val="0"/>
        <w:spacing w:line="360" w:lineRule="auto"/>
        <w:ind w:firstLine="420" w:firstLineChars="200"/>
        <w:rPr>
          <w:color w:val="auto"/>
          <w:sz w:val="24"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596900</wp:posOffset>
            </wp:positionH>
            <wp:positionV relativeFrom="paragraph">
              <wp:posOffset>283845</wp:posOffset>
            </wp:positionV>
            <wp:extent cx="755650" cy="398145"/>
            <wp:effectExtent l="0" t="0" r="6350" b="13335"/>
            <wp:wrapNone/>
            <wp:docPr id="1" name="图片 1" descr="lALPDgQ9y6M88-47cA_112_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LPDgQ9y6M88-47cA_112_5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z w:val="24"/>
        </w:rPr>
        <w:t xml:space="preserve">           </w:t>
      </w:r>
      <w:r>
        <w:rPr>
          <w:i/>
          <w:iCs/>
          <w:color w:val="auto"/>
          <w:sz w:val="24"/>
        </w:rPr>
        <w:t>U</w:t>
      </w:r>
      <w:r>
        <w:rPr>
          <w:color w:val="auto"/>
          <w:sz w:val="24"/>
        </w:rPr>
        <w:t>=</w:t>
      </w:r>
      <w:r>
        <w:rPr>
          <w:rFonts w:hint="eastAsia"/>
          <w:color w:val="auto"/>
          <w:sz w:val="24"/>
          <w:lang w:val="en-US" w:eastAsia="zh-CN"/>
        </w:rPr>
        <w:t>2.52</w:t>
      </w:r>
      <w:bookmarkStart w:id="0" w:name="_GoBack"/>
      <w:bookmarkEnd w:id="0"/>
      <m:oMath>
        <m:r>
          <m:rPr>
            <m:sty m:val="p"/>
          </m:rPr>
          <w:rPr>
            <w:rFonts w:hint="eastAsia"/>
            <w:color w:val="auto"/>
            <w:sz w:val="24"/>
          </w:rPr>
          <m:t>mN</m:t>
        </m:r>
      </m:oMath>
      <w:r>
        <w:rPr>
          <w:color w:val="auto"/>
          <w:sz w:val="24"/>
        </w:rPr>
        <w:t xml:space="preserve">  </w:t>
      </w:r>
      <w:r>
        <w:rPr>
          <w:i/>
          <w:color w:val="auto"/>
          <w:sz w:val="24"/>
        </w:rPr>
        <w:t>k</w:t>
      </w:r>
      <w:r>
        <w:rPr>
          <w:color w:val="auto"/>
          <w:sz w:val="24"/>
        </w:rPr>
        <w:t>=2</w:t>
      </w:r>
    </w:p>
    <w:p>
      <w:pPr>
        <w:widowControl/>
        <w:adjustRightInd w:val="0"/>
        <w:spacing w:line="360" w:lineRule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评定人：</w:t>
      </w:r>
      <w:r>
        <w:rPr>
          <w:rFonts w:hint="eastAsia" w:cs="Times New Roman"/>
          <w:szCs w:val="21"/>
          <w:lang w:val="en-US" w:eastAsia="zh-CN"/>
        </w:rPr>
        <w:t xml:space="preserve">                             日期：2021年3月10日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0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FDFB3B"/>
    <w:multiLevelType w:val="singleLevel"/>
    <w:tmpl w:val="AEFDFB3B"/>
    <w:lvl w:ilvl="0" w:tentative="0">
      <w:start w:val="12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1807"/>
    <w:rsid w:val="00016E6D"/>
    <w:rsid w:val="000245A1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3028C"/>
    <w:rsid w:val="00140789"/>
    <w:rsid w:val="001A51CD"/>
    <w:rsid w:val="00201DB4"/>
    <w:rsid w:val="0020782B"/>
    <w:rsid w:val="002107AF"/>
    <w:rsid w:val="002674CB"/>
    <w:rsid w:val="0028553A"/>
    <w:rsid w:val="002903BC"/>
    <w:rsid w:val="002F1975"/>
    <w:rsid w:val="00305008"/>
    <w:rsid w:val="00357B7A"/>
    <w:rsid w:val="00361AA9"/>
    <w:rsid w:val="00374941"/>
    <w:rsid w:val="00375B6A"/>
    <w:rsid w:val="0038635F"/>
    <w:rsid w:val="003867FC"/>
    <w:rsid w:val="003A0CDC"/>
    <w:rsid w:val="003A3B02"/>
    <w:rsid w:val="003B3D80"/>
    <w:rsid w:val="003D2700"/>
    <w:rsid w:val="003D3F9B"/>
    <w:rsid w:val="003E7DB7"/>
    <w:rsid w:val="003F1FBF"/>
    <w:rsid w:val="00457A38"/>
    <w:rsid w:val="00474314"/>
    <w:rsid w:val="00477F1A"/>
    <w:rsid w:val="00485659"/>
    <w:rsid w:val="004A4FBF"/>
    <w:rsid w:val="004C5406"/>
    <w:rsid w:val="004F72D6"/>
    <w:rsid w:val="0051393E"/>
    <w:rsid w:val="00536037"/>
    <w:rsid w:val="005B1001"/>
    <w:rsid w:val="005B31F7"/>
    <w:rsid w:val="005D6B5E"/>
    <w:rsid w:val="005F29E5"/>
    <w:rsid w:val="00603089"/>
    <w:rsid w:val="00621FE0"/>
    <w:rsid w:val="00627116"/>
    <w:rsid w:val="00635031"/>
    <w:rsid w:val="00666500"/>
    <w:rsid w:val="00692361"/>
    <w:rsid w:val="006C42A7"/>
    <w:rsid w:val="00710E4E"/>
    <w:rsid w:val="007431A9"/>
    <w:rsid w:val="00766D98"/>
    <w:rsid w:val="007A4563"/>
    <w:rsid w:val="007B5237"/>
    <w:rsid w:val="007E6AF4"/>
    <w:rsid w:val="007E6D4D"/>
    <w:rsid w:val="00853C4D"/>
    <w:rsid w:val="008617D9"/>
    <w:rsid w:val="00864046"/>
    <w:rsid w:val="0086704E"/>
    <w:rsid w:val="00890D70"/>
    <w:rsid w:val="00892990"/>
    <w:rsid w:val="00895F34"/>
    <w:rsid w:val="008D08BF"/>
    <w:rsid w:val="00905CBF"/>
    <w:rsid w:val="00917AB6"/>
    <w:rsid w:val="00927048"/>
    <w:rsid w:val="00931C27"/>
    <w:rsid w:val="00940298"/>
    <w:rsid w:val="00945422"/>
    <w:rsid w:val="0096432D"/>
    <w:rsid w:val="009646DF"/>
    <w:rsid w:val="009663CA"/>
    <w:rsid w:val="00972F68"/>
    <w:rsid w:val="00977C49"/>
    <w:rsid w:val="00982870"/>
    <w:rsid w:val="00985326"/>
    <w:rsid w:val="0098671E"/>
    <w:rsid w:val="00996BFC"/>
    <w:rsid w:val="009A08D6"/>
    <w:rsid w:val="009C212D"/>
    <w:rsid w:val="009C3F03"/>
    <w:rsid w:val="009D4CEA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D5602"/>
    <w:rsid w:val="00AE3E03"/>
    <w:rsid w:val="00AE52B0"/>
    <w:rsid w:val="00AE6A78"/>
    <w:rsid w:val="00AF0DE4"/>
    <w:rsid w:val="00B10034"/>
    <w:rsid w:val="00B30F82"/>
    <w:rsid w:val="00B35AE9"/>
    <w:rsid w:val="00B3623F"/>
    <w:rsid w:val="00B539D0"/>
    <w:rsid w:val="00B73F07"/>
    <w:rsid w:val="00BB4A6D"/>
    <w:rsid w:val="00BB4E03"/>
    <w:rsid w:val="00BE50EA"/>
    <w:rsid w:val="00C27B1B"/>
    <w:rsid w:val="00C533BF"/>
    <w:rsid w:val="00C6586D"/>
    <w:rsid w:val="00C73C6A"/>
    <w:rsid w:val="00CA154F"/>
    <w:rsid w:val="00CA5480"/>
    <w:rsid w:val="00CB02A2"/>
    <w:rsid w:val="00CE13FD"/>
    <w:rsid w:val="00CE2703"/>
    <w:rsid w:val="00D11BF1"/>
    <w:rsid w:val="00D264C4"/>
    <w:rsid w:val="00D31301"/>
    <w:rsid w:val="00D428D6"/>
    <w:rsid w:val="00E40954"/>
    <w:rsid w:val="00E527D8"/>
    <w:rsid w:val="00EA1332"/>
    <w:rsid w:val="00EA2105"/>
    <w:rsid w:val="00EA5452"/>
    <w:rsid w:val="00EA70DA"/>
    <w:rsid w:val="00EB3EBC"/>
    <w:rsid w:val="00F015B8"/>
    <w:rsid w:val="00F645B9"/>
    <w:rsid w:val="00F95B2B"/>
    <w:rsid w:val="00FB436E"/>
    <w:rsid w:val="00FC5633"/>
    <w:rsid w:val="01030AE2"/>
    <w:rsid w:val="01CD2016"/>
    <w:rsid w:val="02132D33"/>
    <w:rsid w:val="03C5216A"/>
    <w:rsid w:val="03EF4AAC"/>
    <w:rsid w:val="044770B2"/>
    <w:rsid w:val="04F109D5"/>
    <w:rsid w:val="05042B49"/>
    <w:rsid w:val="05304523"/>
    <w:rsid w:val="053447EE"/>
    <w:rsid w:val="05C570E8"/>
    <w:rsid w:val="07F3591A"/>
    <w:rsid w:val="084E4ADD"/>
    <w:rsid w:val="08B33882"/>
    <w:rsid w:val="098630C9"/>
    <w:rsid w:val="0A7B5858"/>
    <w:rsid w:val="0A7F3CD7"/>
    <w:rsid w:val="0C163E53"/>
    <w:rsid w:val="0CAF6225"/>
    <w:rsid w:val="0CC633F0"/>
    <w:rsid w:val="0CDC1E1E"/>
    <w:rsid w:val="0D3120CE"/>
    <w:rsid w:val="0D364380"/>
    <w:rsid w:val="0E3A3662"/>
    <w:rsid w:val="0E421A22"/>
    <w:rsid w:val="0E796012"/>
    <w:rsid w:val="0F9D2A8B"/>
    <w:rsid w:val="103546B6"/>
    <w:rsid w:val="106F3DD8"/>
    <w:rsid w:val="10D67392"/>
    <w:rsid w:val="12AD7BDB"/>
    <w:rsid w:val="13892171"/>
    <w:rsid w:val="15411FC1"/>
    <w:rsid w:val="158C5419"/>
    <w:rsid w:val="164D695F"/>
    <w:rsid w:val="17111B0C"/>
    <w:rsid w:val="17AB0FB9"/>
    <w:rsid w:val="18314EA2"/>
    <w:rsid w:val="18791403"/>
    <w:rsid w:val="18E46A61"/>
    <w:rsid w:val="196E434C"/>
    <w:rsid w:val="1A4B39BB"/>
    <w:rsid w:val="1A653E1C"/>
    <w:rsid w:val="1B305B37"/>
    <w:rsid w:val="1B9D388C"/>
    <w:rsid w:val="1C8114CA"/>
    <w:rsid w:val="1CE90F86"/>
    <w:rsid w:val="1D50069B"/>
    <w:rsid w:val="1D840647"/>
    <w:rsid w:val="1DD30F8F"/>
    <w:rsid w:val="1E07358B"/>
    <w:rsid w:val="1ECB3F4B"/>
    <w:rsid w:val="1F4C4200"/>
    <w:rsid w:val="1FA051D5"/>
    <w:rsid w:val="1FCA055A"/>
    <w:rsid w:val="20060080"/>
    <w:rsid w:val="200E7B6C"/>
    <w:rsid w:val="204B5DC3"/>
    <w:rsid w:val="20D55196"/>
    <w:rsid w:val="20E14ED0"/>
    <w:rsid w:val="21182AEC"/>
    <w:rsid w:val="21EF0DC2"/>
    <w:rsid w:val="21F236F3"/>
    <w:rsid w:val="234F4DEF"/>
    <w:rsid w:val="243056A1"/>
    <w:rsid w:val="25312398"/>
    <w:rsid w:val="25650389"/>
    <w:rsid w:val="259776D4"/>
    <w:rsid w:val="25BD5B23"/>
    <w:rsid w:val="27866CB7"/>
    <w:rsid w:val="27BE054C"/>
    <w:rsid w:val="28955360"/>
    <w:rsid w:val="293A41F3"/>
    <w:rsid w:val="29782504"/>
    <w:rsid w:val="29F9649D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BE7880"/>
    <w:rsid w:val="2ECF1DA3"/>
    <w:rsid w:val="2F160B64"/>
    <w:rsid w:val="2F194EA2"/>
    <w:rsid w:val="2F4449F8"/>
    <w:rsid w:val="2F584477"/>
    <w:rsid w:val="2FE72CCC"/>
    <w:rsid w:val="30461732"/>
    <w:rsid w:val="30C42F61"/>
    <w:rsid w:val="31ED6178"/>
    <w:rsid w:val="32D71A6B"/>
    <w:rsid w:val="33010797"/>
    <w:rsid w:val="336453B5"/>
    <w:rsid w:val="336F4172"/>
    <w:rsid w:val="343B7C73"/>
    <w:rsid w:val="351957ED"/>
    <w:rsid w:val="35A0363F"/>
    <w:rsid w:val="35AE7103"/>
    <w:rsid w:val="35D96049"/>
    <w:rsid w:val="360719D2"/>
    <w:rsid w:val="360F49D2"/>
    <w:rsid w:val="369C7F69"/>
    <w:rsid w:val="36CA27CF"/>
    <w:rsid w:val="373A5911"/>
    <w:rsid w:val="37AD5F4B"/>
    <w:rsid w:val="37BA1339"/>
    <w:rsid w:val="38B22018"/>
    <w:rsid w:val="38B31447"/>
    <w:rsid w:val="38B72B67"/>
    <w:rsid w:val="391F457E"/>
    <w:rsid w:val="39A35F89"/>
    <w:rsid w:val="3A5F7CB0"/>
    <w:rsid w:val="3AC43AD0"/>
    <w:rsid w:val="3B174BA1"/>
    <w:rsid w:val="3B3B6DF8"/>
    <w:rsid w:val="3CF124A0"/>
    <w:rsid w:val="3CF30480"/>
    <w:rsid w:val="3D67174B"/>
    <w:rsid w:val="3E2C3618"/>
    <w:rsid w:val="408F2819"/>
    <w:rsid w:val="41EB24EA"/>
    <w:rsid w:val="42094463"/>
    <w:rsid w:val="422904BD"/>
    <w:rsid w:val="42732272"/>
    <w:rsid w:val="43D85F10"/>
    <w:rsid w:val="44185822"/>
    <w:rsid w:val="454C4A39"/>
    <w:rsid w:val="463069A0"/>
    <w:rsid w:val="464E19D3"/>
    <w:rsid w:val="475164DA"/>
    <w:rsid w:val="47A42EAC"/>
    <w:rsid w:val="47A84575"/>
    <w:rsid w:val="47AC5657"/>
    <w:rsid w:val="47E65026"/>
    <w:rsid w:val="490E5D78"/>
    <w:rsid w:val="49CE1F8F"/>
    <w:rsid w:val="4A02072C"/>
    <w:rsid w:val="4A546E21"/>
    <w:rsid w:val="4B8411A0"/>
    <w:rsid w:val="4CCB7763"/>
    <w:rsid w:val="4D5542B6"/>
    <w:rsid w:val="4D63663A"/>
    <w:rsid w:val="4E19754E"/>
    <w:rsid w:val="4F745F83"/>
    <w:rsid w:val="4FBF56E1"/>
    <w:rsid w:val="515D607F"/>
    <w:rsid w:val="517D5F39"/>
    <w:rsid w:val="517F6EA6"/>
    <w:rsid w:val="51F062C0"/>
    <w:rsid w:val="520E18AC"/>
    <w:rsid w:val="52181816"/>
    <w:rsid w:val="52590ACE"/>
    <w:rsid w:val="538066BD"/>
    <w:rsid w:val="53884AAA"/>
    <w:rsid w:val="54A57465"/>
    <w:rsid w:val="55300465"/>
    <w:rsid w:val="55A64E1F"/>
    <w:rsid w:val="55B96904"/>
    <w:rsid w:val="55FD1495"/>
    <w:rsid w:val="56017A42"/>
    <w:rsid w:val="566840F1"/>
    <w:rsid w:val="56AD424A"/>
    <w:rsid w:val="56E83C11"/>
    <w:rsid w:val="57621CFF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A881ACB"/>
    <w:rsid w:val="5B061C74"/>
    <w:rsid w:val="5B9642B7"/>
    <w:rsid w:val="5C1127F4"/>
    <w:rsid w:val="5C7074FA"/>
    <w:rsid w:val="5CC1153A"/>
    <w:rsid w:val="5DD75F7C"/>
    <w:rsid w:val="5FFF6164"/>
    <w:rsid w:val="6021634B"/>
    <w:rsid w:val="607523C1"/>
    <w:rsid w:val="609F7046"/>
    <w:rsid w:val="620C7AED"/>
    <w:rsid w:val="6244710E"/>
    <w:rsid w:val="627D3DDC"/>
    <w:rsid w:val="640E0FC4"/>
    <w:rsid w:val="652B0435"/>
    <w:rsid w:val="65833FB4"/>
    <w:rsid w:val="65F63FF7"/>
    <w:rsid w:val="66376326"/>
    <w:rsid w:val="671C48E0"/>
    <w:rsid w:val="679A2D2E"/>
    <w:rsid w:val="68EE565B"/>
    <w:rsid w:val="695828FB"/>
    <w:rsid w:val="69977A05"/>
    <w:rsid w:val="6A006780"/>
    <w:rsid w:val="6A53373D"/>
    <w:rsid w:val="6B4C2E34"/>
    <w:rsid w:val="6B9A06C0"/>
    <w:rsid w:val="6BD477EC"/>
    <w:rsid w:val="6BFD7692"/>
    <w:rsid w:val="6C251012"/>
    <w:rsid w:val="6CEF600F"/>
    <w:rsid w:val="6D0F3507"/>
    <w:rsid w:val="6D155456"/>
    <w:rsid w:val="6DB66F29"/>
    <w:rsid w:val="6DCE70FA"/>
    <w:rsid w:val="6E114D5C"/>
    <w:rsid w:val="6E3330A3"/>
    <w:rsid w:val="6E827F52"/>
    <w:rsid w:val="6F651BCF"/>
    <w:rsid w:val="6FB613F0"/>
    <w:rsid w:val="6FCE3C4B"/>
    <w:rsid w:val="6FFD7F9F"/>
    <w:rsid w:val="71A62286"/>
    <w:rsid w:val="72484DC4"/>
    <w:rsid w:val="72D85456"/>
    <w:rsid w:val="72E906CA"/>
    <w:rsid w:val="72E9313F"/>
    <w:rsid w:val="73950332"/>
    <w:rsid w:val="739A109D"/>
    <w:rsid w:val="7415715D"/>
    <w:rsid w:val="744F372E"/>
    <w:rsid w:val="74683550"/>
    <w:rsid w:val="746C205E"/>
    <w:rsid w:val="751E4BE0"/>
    <w:rsid w:val="75915A0E"/>
    <w:rsid w:val="75D43E41"/>
    <w:rsid w:val="76782D4F"/>
    <w:rsid w:val="780A2E02"/>
    <w:rsid w:val="7869696E"/>
    <w:rsid w:val="78A845DD"/>
    <w:rsid w:val="78E1576B"/>
    <w:rsid w:val="7A9623B0"/>
    <w:rsid w:val="7AB02F7C"/>
    <w:rsid w:val="7ABC47A1"/>
    <w:rsid w:val="7BC9670D"/>
    <w:rsid w:val="7BE90C28"/>
    <w:rsid w:val="7CEF21FD"/>
    <w:rsid w:val="7D2B6D03"/>
    <w:rsid w:val="7DC32556"/>
    <w:rsid w:val="7E2052D1"/>
    <w:rsid w:val="7E5C07A9"/>
    <w:rsid w:val="7E652938"/>
    <w:rsid w:val="7E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png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215</Words>
  <Characters>1231</Characters>
  <Lines>10</Lines>
  <Paragraphs>2</Paragraphs>
  <TotalTime>3</TotalTime>
  <ScaleCrop>false</ScaleCrop>
  <LinksUpToDate>false</LinksUpToDate>
  <CharactersWithSpaces>1444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2020-08-13T11:23:00Z</dcterms:created>
  <dc:creator>MC SYSTEM</dc:creator>
  <cp:lastModifiedBy>WPS_1601433895</cp:lastModifiedBy>
  <cp:lastPrinted>2020-08-18T05:34:00Z</cp:lastPrinted>
  <dcterms:modified xsi:type="dcterms:W3CDTF">2021-09-14T01:23:10Z</dcterms:modified>
  <dc:title>直读光谱仪测量中低合金钢中锰含量的测量不确定度评定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EB49B55424AF49FDA6D0E97AF8462A08</vt:lpwstr>
  </property>
</Properties>
</file>