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29045" cy="9105900"/>
            <wp:effectExtent l="0" t="0" r="10795" b="7620"/>
            <wp:docPr id="6" name="图片 6" descr="扫描全能王 2021-08-20 18.4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8-20 18.48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1750" cy="9088755"/>
            <wp:effectExtent l="0" t="0" r="3810" b="9525"/>
            <wp:docPr id="5" name="图片 5" descr="扫描全能王 2021-08-20 18.4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8-20 18.48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8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07455" cy="9102725"/>
            <wp:effectExtent l="0" t="0" r="1905" b="10795"/>
            <wp:docPr id="4" name="图片 4" descr="扫描全能王 2021-08-20 18.4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20 18.48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15075" cy="9108440"/>
            <wp:effectExtent l="0" t="0" r="9525" b="5080"/>
            <wp:docPr id="3" name="图片 3" descr="扫描全能王 2021-08-20 18.48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20 18.48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190615" cy="9109075"/>
            <wp:effectExtent l="0" t="0" r="12065" b="4445"/>
            <wp:docPr id="2" name="图片 2" descr="扫描全能王 2021-08-20 18.48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0 18.48_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河北凯睿科技有限公司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未提供对产品运输外包供应商的评定记录表，也无其他证据证明对此供应商进行了评价。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953EB"/>
    <w:rsid w:val="5A763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2021-08-20T11:14:00Z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2052-11.1.0.9995</vt:lpwstr>
  </property>
</Properties>
</file>