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72225" cy="9124315"/>
            <wp:effectExtent l="0" t="0" r="3175" b="6985"/>
            <wp:docPr id="2" name="图片 2" descr="20b05b62a384ad9323c9d2e363fd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b05b62a384ad9323c9d2e363fdb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62370" cy="9123680"/>
            <wp:effectExtent l="0" t="0" r="11430" b="7620"/>
            <wp:docPr id="3" name="图片 3" descr="80ff3ff73de83faf32e6cb79161d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ff3ff73de83faf32e6cb79161d2d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912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HACCP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怡达快速电梯有限公司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  徐丽娇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制造中心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检查时发现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2021年1-7月份单位产品能耗为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39.75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台，高于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  <w:t>2021年制定的目标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37.38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台，企业没有对2021年1-7月份能耗高进行原因分析，也没有制定节能措施。</w:t>
            </w:r>
          </w:p>
          <w:p>
            <w:pPr>
              <w:spacing w:before="120" w:line="360" w:lineRule="auto"/>
              <w:rPr>
                <w:rFonts w:hint="default" w:cs="Times New Roman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RB/119-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t>-2015 能源管理体系机械制造企业认证要求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4.6.4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60325</wp:posOffset>
                  </wp:positionV>
                  <wp:extent cx="869950" cy="413385"/>
                  <wp:effectExtent l="0" t="0" r="6350" b="5715"/>
                  <wp:wrapSquare wrapText="bothSides"/>
                  <wp:docPr id="4" name="图片 4" descr="fe947a88665c596b3bb23f07c45c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947a88665c596b3bb23f07c45ce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检查时发现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2021年1-7月份单位产品能耗为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39.75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台，高于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  <w:t>2021年制定的目标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37.38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台，企业没有对2021年1-7月份能耗高进行原因分析，也没有制定节能措施。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对2021年1-7月份单位产品能耗为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39.75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台，高于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  <w:t>2021年制定的目标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37.38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台，的原因进行分析，并制定节能措施。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相关人员对GB/T 23331-2020 idt ISO 50001:2018标准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10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.1条款“组织应对能源绩效的严重偏离进行调查和响应”理解不深。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对相关人员进行标准培训，使其理解GB/T 23331-2020 idt ISO 50001:2018标准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10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.1条款“组织应对能源绩效的严重偏离进行调查和响应”的内容。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已经对2021年1-7月份能耗高的原因进行分析，已经制定下一步的节能措施，已经对相关人员进行标准培训，受培训人员已经理解了GB/T 23331-2020 idt ISO 50001:2018标准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10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.1条款“组织应对能源绩效的严重偏离进行调查和响应”的内容。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eastAsia="宋体" w:cs="Times New Roman"/>
                <w:kern w:val="2"/>
                <w:sz w:val="20"/>
                <w:szCs w:val="22"/>
                <w:lang w:val="en-US" w:eastAsia="zh-CN" w:bidi="ar-SA"/>
              </w:rPr>
              <w:t>纠正及纠正措施有效。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5611B"/>
    <w:rsid w:val="2FD256C2"/>
    <w:rsid w:val="3BEF42EB"/>
    <w:rsid w:val="56C21751"/>
    <w:rsid w:val="6DCF3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2021-08-31T04:00:52Z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