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97"/>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97"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制造中心</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顾卫昌</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徐丽娇</w:t>
            </w:r>
          </w:p>
        </w:tc>
        <w:tc>
          <w:tcPr>
            <w:tcW w:w="792"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97"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周涛、应红艳  </w:t>
            </w:r>
            <w:r>
              <w:rPr>
                <w:sz w:val="24"/>
                <w:szCs w:val="24"/>
              </w:rPr>
              <w:t xml:space="preserve">         </w:t>
            </w:r>
            <w:r>
              <w:rPr>
                <w:rFonts w:hint="eastAsia"/>
                <w:sz w:val="24"/>
                <w:szCs w:val="24"/>
              </w:rPr>
              <w:t>审核时间：</w:t>
            </w:r>
            <w:r>
              <w:rPr>
                <w:rFonts w:hint="eastAsia"/>
                <w:sz w:val="24"/>
                <w:szCs w:val="24"/>
                <w:lang w:val="en-US" w:eastAsia="zh-CN"/>
              </w:rPr>
              <w:t>2021.</w:t>
            </w:r>
            <w:r>
              <w:rPr>
                <w:rFonts w:hint="eastAsia"/>
                <w:sz w:val="24"/>
                <w:szCs w:val="24"/>
                <w:highlight w:val="none"/>
                <w:lang w:val="en-US" w:eastAsia="zh-CN"/>
              </w:rPr>
              <w:t>8.22-24</w:t>
            </w:r>
          </w:p>
        </w:tc>
        <w:tc>
          <w:tcPr>
            <w:tcW w:w="79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97" w:type="dxa"/>
            <w:vAlign w:val="center"/>
          </w:tcPr>
          <w:p>
            <w:pPr>
              <w:rPr>
                <w:rFonts w:hint="default"/>
                <w:sz w:val="24"/>
                <w:szCs w:val="24"/>
                <w:lang w:val="en-US"/>
              </w:rPr>
            </w:pPr>
            <w:r>
              <w:rPr>
                <w:rFonts w:hint="eastAsia"/>
                <w:sz w:val="24"/>
                <w:szCs w:val="24"/>
              </w:rPr>
              <w:t>审核条款：</w:t>
            </w:r>
            <w:r>
              <w:rPr>
                <w:rFonts w:hint="eastAsia" w:ascii="宋体" w:hAnsi="宋体"/>
                <w:szCs w:val="21"/>
              </w:rPr>
              <w:t>5.3 组织的岗位、职责和权限、6.2 目标、能源指及其实现的策划、6.3 能源评审、6.4 能源绩效参数、6.5 能源基准</w:t>
            </w:r>
            <w:r>
              <w:rPr>
                <w:rFonts w:hint="eastAsia" w:ascii="宋体" w:hAnsi="宋体"/>
                <w:szCs w:val="21"/>
                <w:lang w:eastAsia="zh-CN"/>
              </w:rPr>
              <w:t>、</w:t>
            </w:r>
            <w:r>
              <w:rPr>
                <w:rFonts w:hint="eastAsia" w:ascii="宋体" w:hAnsi="宋体"/>
                <w:szCs w:val="21"/>
              </w:rPr>
              <w:t>6.6 采集能源数据的策划、</w:t>
            </w:r>
            <w:r>
              <w:rPr>
                <w:rFonts w:hint="eastAsia" w:ascii="宋体" w:hAnsi="宋体"/>
                <w:szCs w:val="21"/>
                <w:lang w:val="en-US" w:eastAsia="zh-CN"/>
              </w:rPr>
              <w:t>7.4沟通交流、</w:t>
            </w:r>
            <w:r>
              <w:rPr>
                <w:rFonts w:hint="eastAsia" w:ascii="宋体" w:hAnsi="宋体"/>
                <w:szCs w:val="21"/>
                <w:u w:val="none"/>
              </w:rPr>
              <w:t>7.5 文件化信息</w:t>
            </w:r>
            <w:r>
              <w:rPr>
                <w:rFonts w:hint="eastAsia" w:ascii="宋体" w:hAnsi="宋体"/>
                <w:szCs w:val="21"/>
              </w:rPr>
              <w:t>、性评价、9.2 内部审核、8.1 运行的策划和控制</w:t>
            </w:r>
            <w:r>
              <w:rPr>
                <w:rFonts w:hint="eastAsia" w:ascii="宋体" w:hAnsi="宋体"/>
                <w:szCs w:val="21"/>
                <w:lang w:val="en-US" w:eastAsia="zh-CN"/>
              </w:rPr>
              <w:t>、9.1.1能源绩效和能源管理体系的监视、测量、分析和评价 、9.2合规性评价、10.1</w:t>
            </w:r>
            <w:r>
              <w:rPr>
                <w:rFonts w:hint="eastAsia" w:ascii="宋体" w:hAnsi="宋体"/>
                <w:szCs w:val="21"/>
              </w:rPr>
              <w:t>不符合与纠正措施</w:t>
            </w:r>
            <w:r>
              <w:rPr>
                <w:rFonts w:hint="eastAsia" w:ascii="宋体" w:hAnsi="宋体"/>
                <w:szCs w:val="21"/>
                <w:lang w:eastAsia="zh-CN"/>
              </w:rPr>
              <w:t>；</w:t>
            </w:r>
            <w:r>
              <w:rPr>
                <w:rFonts w:hint="eastAsia" w:ascii="宋体" w:hAnsi="宋体"/>
                <w:szCs w:val="21"/>
              </w:rPr>
              <w:t>10.2 持续改进</w:t>
            </w:r>
            <w:r>
              <w:rPr>
                <w:rFonts w:hint="eastAsia" w:ascii="宋体" w:hAnsi="宋体"/>
                <w:szCs w:val="21"/>
                <w:lang w:val="en-US" w:eastAsia="zh-CN"/>
              </w:rPr>
              <w:t>.现场巡视、夜班巡查及交接班查看。</w:t>
            </w:r>
          </w:p>
        </w:tc>
        <w:tc>
          <w:tcPr>
            <w:tcW w:w="79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160" w:type="dxa"/>
          </w:tcPr>
          <w:p>
            <w:pPr>
              <w:rPr>
                <w:rFonts w:hint="default" w:eastAsia="宋体"/>
                <w:lang w:val="en-US" w:eastAsia="zh-CN"/>
              </w:rPr>
            </w:pPr>
            <w:r>
              <w:rPr>
                <w:rFonts w:hint="eastAsia" w:ascii="宋体" w:hAnsi="宋体"/>
                <w:szCs w:val="21"/>
              </w:rPr>
              <w:t>组织的岗位、</w:t>
            </w:r>
            <w:r>
              <w:rPr>
                <w:rFonts w:hint="eastAsia"/>
                <w:lang w:val="en-US" w:eastAsia="zh-CN"/>
              </w:rPr>
              <w:t>职责权限</w:t>
            </w:r>
          </w:p>
        </w:tc>
        <w:tc>
          <w:tcPr>
            <w:tcW w:w="960" w:type="dxa"/>
          </w:tcPr>
          <w:p>
            <w:pPr>
              <w:rPr>
                <w:rFonts w:hint="default" w:eastAsia="宋体"/>
                <w:lang w:val="en-US" w:eastAsia="zh-CN"/>
              </w:rPr>
            </w:pPr>
            <w:r>
              <w:rPr>
                <w:rFonts w:hint="eastAsia"/>
                <w:lang w:val="en-US" w:eastAsia="zh-CN"/>
              </w:rPr>
              <w:t>En5.3</w:t>
            </w:r>
          </w:p>
        </w:tc>
        <w:tc>
          <w:tcPr>
            <w:tcW w:w="10797"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顾卫昌介绍：制造中心下设：生产管理、设备管理、生产计划、生产工艺。</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1、负责统筹安排生产计划，追踪生产进度，协调出货计划，确保交付周期。</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2、负责建立和完善生产计划管理制度，保证生产计划管理进入系统化、科学化、规范化程序。</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3、负责掌握和控制原辅材料、在产品、产成品的周转和库存情况，及时调整生产计划和提出原辅材料的采购需求。</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4、负责公司数据统计工作，对各类生产数据进行监控、记录，提供生产报表、质量报表和其他相关统计分析资料，为公司领导和有关部门提供科学决策依据；负责公司生产报表、数据的归口管理；负责ERP监控设备的管理。</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5、负责公司配件仓库的管理，建立规范的基础台帐，完善进出仓和销售手续。</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6、负责公司原辅材料、成品的装卸和仓储管理；负责物资进出仓、储存保管和安全防护；负责装卸、运输工具的使用和管理。</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7、负责公司现有资产管理工作，建立健全主要耗能申报台账。</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8、负责公司各种设备的选型配套、安装调试、使用维修、报废审批、安全运转等有关设备管理工作。</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9、协助生产部的生产计划管理工作，及时提供采购物资的规格、数量。</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10、负责对物资供应厂商进行资信评估，建立起稳定有序的物资供应渠道。</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经理对职责基本明确清晰。</w:t>
            </w:r>
          </w:p>
        </w:tc>
        <w:tc>
          <w:tcPr>
            <w:tcW w:w="792" w:type="dxa"/>
          </w:tc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lang w:val="en-US" w:eastAsia="zh-CN"/>
              </w:rPr>
            </w:pPr>
            <w:r>
              <w:rPr>
                <w:rFonts w:hint="eastAsia"/>
                <w:lang w:val="en-US" w:eastAsia="zh-CN"/>
              </w:rPr>
              <w:t>能源目标\</w:t>
            </w:r>
            <w:r>
              <w:rPr>
                <w:rFonts w:hint="eastAsia" w:ascii="宋体" w:hAnsi="宋体"/>
                <w:szCs w:val="21"/>
              </w:rPr>
              <w:t>能源指及其实现的策划</w:t>
            </w:r>
          </w:p>
        </w:tc>
        <w:tc>
          <w:tcPr>
            <w:tcW w:w="960" w:type="dxa"/>
          </w:tcPr>
          <w:p>
            <w:pPr>
              <w:rPr>
                <w:rFonts w:hint="default"/>
                <w:lang w:val="en-US" w:eastAsia="zh-CN"/>
              </w:rPr>
            </w:pPr>
            <w:r>
              <w:rPr>
                <w:rFonts w:hint="eastAsia"/>
                <w:lang w:val="en-US" w:eastAsia="zh-CN"/>
              </w:rPr>
              <w:t>En6.2</w:t>
            </w:r>
          </w:p>
        </w:tc>
        <w:tc>
          <w:tcPr>
            <w:tcW w:w="10797"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szCs w:val="22"/>
                <w:lang w:val="en-US" w:eastAsia="zh-CN"/>
              </w:rPr>
            </w:pPr>
            <w:r>
              <w:rPr>
                <w:rFonts w:hint="eastAsia" w:ascii="Times New Roman" w:hAnsi="Times New Roman" w:eastAsia="宋体" w:cs="Times New Roman"/>
                <w:kern w:val="2"/>
                <w:sz w:val="20"/>
                <w:szCs w:val="22"/>
                <w:lang w:val="en-US" w:eastAsia="zh-CN" w:bidi="ar-SA"/>
              </w:rPr>
              <w:t>地方政府未下达节能量指标</w:t>
            </w:r>
            <w:r>
              <w:rPr>
                <w:rFonts w:hint="eastAsia"/>
                <w:b/>
                <w:bCs/>
                <w:sz w:val="20"/>
                <w:szCs w:val="22"/>
                <w:lang w:val="en-US" w:eastAsia="zh-CN"/>
              </w:rPr>
              <w:t>。</w:t>
            </w:r>
          </w:p>
          <w:p>
            <w:pPr>
              <w:pStyle w:val="2"/>
              <w:ind w:left="0" w:leftChars="0" w:firstLine="0" w:firstLineChars="0"/>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企业2020年制定的目标为：单位产品能耗</w:t>
            </w:r>
            <w:r>
              <w:rPr>
                <w:rFonts w:hint="eastAsia" w:cs="Times New Roman"/>
                <w:kern w:val="2"/>
                <w:sz w:val="20"/>
                <w:szCs w:val="22"/>
                <w:lang w:val="en-US" w:eastAsia="zh-CN" w:bidi="ar-SA"/>
              </w:rPr>
              <w:t>38.13</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r>
              <w:rPr>
                <w:rFonts w:hint="eastAsia" w:ascii="Times New Roman" w:hAnsi="Times New Roman" w:eastAsia="宋体" w:cs="Times New Roman"/>
                <w:kern w:val="2"/>
                <w:sz w:val="20"/>
                <w:szCs w:val="22"/>
                <w:lang w:val="en-US" w:eastAsia="zh-CN" w:bidi="ar-SA"/>
              </w:rPr>
              <w:t>。</w:t>
            </w:r>
            <w:r>
              <w:rPr>
                <w:rFonts w:hint="eastAsia" w:cs="Times New Roman"/>
                <w:kern w:val="2"/>
                <w:sz w:val="20"/>
                <w:szCs w:val="22"/>
                <w:lang w:val="en-US" w:eastAsia="zh-CN" w:bidi="ar-SA"/>
              </w:rPr>
              <w:t>（以20217、2018、2019三年的平均值）</w:t>
            </w:r>
          </w:p>
          <w:p>
            <w:pPr>
              <w:pStyle w:val="2"/>
              <w:ind w:left="0" w:leftChars="0" w:firstLine="0" w:firstLineChars="0"/>
              <w:rPr>
                <w:rFonts w:hint="eastAsia" w:ascii="Times New Roman" w:hAnsi="Times New Roman" w:cs="Times New Roman"/>
                <w:kern w:val="2"/>
                <w:sz w:val="20"/>
                <w:szCs w:val="22"/>
                <w:lang w:val="en-US" w:eastAsia="zh-CN" w:bidi="ar-SA"/>
              </w:rPr>
            </w:pPr>
            <w:r>
              <w:rPr>
                <w:rFonts w:hint="eastAsia" w:ascii="Times New Roman" w:hAnsi="Times New Roman" w:cs="Times New Roman"/>
                <w:kern w:val="2"/>
                <w:sz w:val="20"/>
                <w:szCs w:val="22"/>
                <w:lang w:val="en-US" w:eastAsia="zh-CN" w:bidi="ar-SA"/>
              </w:rPr>
              <w:t>企业2020年完成情况为：</w:t>
            </w:r>
            <w:r>
              <w:rPr>
                <w:rFonts w:hint="eastAsia" w:ascii="Times New Roman" w:hAnsi="Times New Roman" w:eastAsia="宋体" w:cs="Times New Roman"/>
                <w:kern w:val="2"/>
                <w:sz w:val="20"/>
                <w:szCs w:val="22"/>
                <w:lang w:val="en-US" w:eastAsia="zh-CN" w:bidi="ar-SA"/>
              </w:rPr>
              <w:t>单位产品能耗</w:t>
            </w:r>
            <w:r>
              <w:rPr>
                <w:rFonts w:hint="eastAsia" w:ascii="宋体" w:hAnsi="宋体" w:cs="宋体"/>
                <w:i w:val="0"/>
                <w:iCs w:val="0"/>
                <w:color w:val="000000"/>
                <w:kern w:val="0"/>
                <w:sz w:val="22"/>
                <w:szCs w:val="22"/>
                <w:u w:val="none"/>
                <w:lang w:val="en-US" w:eastAsia="zh-CN" w:bidi="ar"/>
              </w:rPr>
              <w:t>37.08</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r>
              <w:rPr>
                <w:rFonts w:hint="eastAsia" w:ascii="Times New Roman" w:hAnsi="Times New Roman" w:cs="Times New Roman"/>
                <w:kern w:val="2"/>
                <w:sz w:val="20"/>
                <w:szCs w:val="22"/>
                <w:lang w:val="en-US" w:eastAsia="zh-CN" w:bidi="ar-SA"/>
              </w:rPr>
              <w:t>。完成了制定的目标。</w:t>
            </w:r>
          </w:p>
          <w:p>
            <w:pPr>
              <w:pStyle w:val="2"/>
              <w:ind w:left="0" w:leftChars="0" w:firstLine="0" w:firstLineChars="0"/>
              <w:rPr>
                <w:rFonts w:hint="eastAsia" w:ascii="Times New Roman" w:hAnsi="Times New Roman" w:eastAsia="宋体" w:cs="Times New Roman"/>
                <w:kern w:val="2"/>
                <w:sz w:val="20"/>
                <w:szCs w:val="22"/>
                <w:lang w:val="en-US" w:eastAsia="zh-CN" w:bidi="ar-SA"/>
              </w:rPr>
            </w:pPr>
            <w:r>
              <w:rPr>
                <w:rFonts w:hint="eastAsia" w:ascii="Times New Roman" w:hAnsi="Times New Roman" w:cs="Times New Roman"/>
                <w:kern w:val="2"/>
                <w:sz w:val="20"/>
                <w:szCs w:val="22"/>
                <w:lang w:val="en-US" w:eastAsia="zh-CN" w:bidi="ar-SA"/>
              </w:rPr>
              <w:t>2021年制定的目标为：</w:t>
            </w:r>
            <w:r>
              <w:rPr>
                <w:rFonts w:hint="eastAsia" w:ascii="Times New Roman" w:hAnsi="Times New Roman" w:eastAsia="宋体" w:cs="Times New Roman"/>
                <w:kern w:val="2"/>
                <w:sz w:val="20"/>
                <w:szCs w:val="22"/>
                <w:lang w:val="en-US" w:eastAsia="zh-CN" w:bidi="ar-SA"/>
              </w:rPr>
              <w:t>单位产品能耗</w:t>
            </w:r>
            <w:r>
              <w:rPr>
                <w:rFonts w:hint="eastAsia" w:cs="Times New Roman"/>
                <w:kern w:val="2"/>
                <w:sz w:val="20"/>
                <w:szCs w:val="22"/>
                <w:lang w:val="en-US" w:eastAsia="zh-CN" w:bidi="ar-SA"/>
              </w:rPr>
              <w:t>37.38</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r>
              <w:rPr>
                <w:rFonts w:hint="eastAsia" w:ascii="Times New Roman" w:hAnsi="Times New Roman" w:eastAsia="宋体" w:cs="Times New Roman"/>
                <w:kern w:val="2"/>
                <w:sz w:val="20"/>
                <w:szCs w:val="22"/>
                <w:lang w:val="en-US" w:eastAsia="zh-CN" w:bidi="ar-SA"/>
              </w:rPr>
              <w:t>。</w:t>
            </w:r>
            <w:r>
              <w:rPr>
                <w:rFonts w:hint="eastAsia" w:cs="Times New Roman"/>
                <w:kern w:val="2"/>
                <w:sz w:val="20"/>
                <w:szCs w:val="22"/>
                <w:lang w:val="en-US" w:eastAsia="zh-CN" w:bidi="ar-SA"/>
              </w:rPr>
              <w:t>（以20218、2019、2020年三年的平均值）</w:t>
            </w:r>
          </w:p>
          <w:p>
            <w:pPr>
              <w:pStyle w:val="2"/>
              <w:ind w:left="0" w:leftChars="0" w:firstLine="0" w:firstLineChars="0"/>
              <w:rPr>
                <w:rFonts w:hint="eastAsia" w:ascii="Times New Roman" w:hAnsi="Times New Roman" w:cs="Times New Roman"/>
                <w:kern w:val="2"/>
                <w:sz w:val="20"/>
                <w:szCs w:val="22"/>
                <w:lang w:val="en-US" w:eastAsia="zh-CN" w:bidi="ar-SA"/>
              </w:rPr>
            </w:pPr>
            <w:r>
              <w:rPr>
                <w:rFonts w:hint="eastAsia" w:ascii="Times New Roman" w:hAnsi="Times New Roman" w:cs="Times New Roman"/>
                <w:kern w:val="2"/>
                <w:sz w:val="20"/>
                <w:szCs w:val="22"/>
                <w:lang w:val="en-US" w:eastAsia="zh-CN" w:bidi="ar-SA"/>
              </w:rPr>
              <w:t>2021年1-</w:t>
            </w:r>
            <w:r>
              <w:rPr>
                <w:rFonts w:hint="eastAsia" w:cs="Times New Roman"/>
                <w:kern w:val="2"/>
                <w:sz w:val="20"/>
                <w:szCs w:val="22"/>
                <w:lang w:val="en-US" w:eastAsia="zh-CN" w:bidi="ar-SA"/>
              </w:rPr>
              <w:t>7</w:t>
            </w:r>
            <w:r>
              <w:rPr>
                <w:rFonts w:hint="eastAsia" w:ascii="Times New Roman" w:hAnsi="Times New Roman" w:cs="Times New Roman"/>
                <w:kern w:val="2"/>
                <w:sz w:val="20"/>
                <w:szCs w:val="22"/>
                <w:lang w:val="en-US" w:eastAsia="zh-CN" w:bidi="ar-SA"/>
              </w:rPr>
              <w:t>月份完成情况为：</w:t>
            </w:r>
            <w:r>
              <w:rPr>
                <w:rFonts w:hint="eastAsia" w:ascii="Times New Roman" w:hAnsi="Times New Roman" w:eastAsia="宋体" w:cs="Times New Roman"/>
                <w:kern w:val="2"/>
                <w:sz w:val="20"/>
                <w:szCs w:val="22"/>
                <w:lang w:val="en-US" w:eastAsia="zh-CN" w:bidi="ar-SA"/>
              </w:rPr>
              <w:t>单位产品能耗</w:t>
            </w:r>
            <w:r>
              <w:rPr>
                <w:rFonts w:hint="eastAsia" w:cs="Times New Roman"/>
                <w:kern w:val="2"/>
                <w:sz w:val="20"/>
                <w:szCs w:val="22"/>
                <w:lang w:val="en-US" w:eastAsia="zh-CN" w:bidi="ar-SA"/>
              </w:rPr>
              <w:t>39.75</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r>
              <w:rPr>
                <w:rFonts w:hint="eastAsia" w:ascii="Times New Roman" w:hAnsi="Times New Roman" w:cs="Times New Roman"/>
                <w:kern w:val="2"/>
                <w:sz w:val="20"/>
                <w:szCs w:val="22"/>
                <w:lang w:val="en-US" w:eastAsia="zh-CN" w:bidi="ar-SA"/>
              </w:rPr>
              <w:t>.</w:t>
            </w:r>
          </w:p>
          <w:p>
            <w:pPr>
              <w:pStyle w:val="2"/>
              <w:ind w:left="0" w:leftChars="0" w:firstLine="0" w:firstLineChars="0"/>
              <w:rPr>
                <w:rFonts w:hint="eastAsia" w:ascii="Times New Roman" w:hAnsi="Times New Roman" w:cs="Times New Roman"/>
                <w:kern w:val="2"/>
                <w:sz w:val="20"/>
                <w:szCs w:val="22"/>
                <w:lang w:val="en-US" w:eastAsia="zh-CN" w:bidi="ar-SA"/>
              </w:rPr>
            </w:pPr>
            <w:r>
              <w:rPr>
                <w:rFonts w:hint="eastAsia" w:cs="Times New Roman"/>
                <w:kern w:val="2"/>
                <w:sz w:val="20"/>
                <w:szCs w:val="22"/>
                <w:lang w:val="en-US" w:eastAsia="zh-CN" w:bidi="ar-SA"/>
              </w:rPr>
              <w:t>2021年1-7月份的单位产品能耗超过了制定的目标</w:t>
            </w:r>
            <w:r>
              <w:rPr>
                <w:rFonts w:hint="eastAsia" w:ascii="Times New Roman" w:hAnsi="Times New Roman" w:cs="Times New Roman"/>
                <w:kern w:val="2"/>
                <w:sz w:val="20"/>
                <w:szCs w:val="22"/>
                <w:lang w:val="en-US" w:eastAsia="zh-CN" w:bidi="ar-SA"/>
              </w:rPr>
              <w:t>。</w:t>
            </w:r>
          </w:p>
          <w:p>
            <w:pPr>
              <w:pStyle w:val="2"/>
              <w:ind w:left="0" w:leftChars="0" w:firstLine="0" w:firstLineChars="0"/>
              <w:rPr>
                <w:rFonts w:hint="default" w:cs="Times New Roman"/>
                <w:szCs w:val="22"/>
                <w:lang w:val="en-US" w:eastAsia="zh-CN"/>
              </w:rPr>
            </w:pPr>
            <w:r>
              <w:rPr>
                <w:rFonts w:hint="eastAsia" w:cs="Times New Roman"/>
                <w:kern w:val="2"/>
                <w:sz w:val="20"/>
                <w:szCs w:val="22"/>
                <w:lang w:val="en-US" w:eastAsia="zh-CN" w:bidi="ar-SA"/>
              </w:rPr>
              <w:t>应该分析原因，制定节能方案，控制高耗能设备的运行。</w:t>
            </w:r>
            <w:r>
              <w:rPr>
                <w:rFonts w:hint="eastAsia" w:cs="Times New Roman"/>
                <w:color w:val="FF0000"/>
                <w:kern w:val="2"/>
                <w:sz w:val="20"/>
                <w:szCs w:val="22"/>
                <w:lang w:val="en-US" w:eastAsia="zh-CN" w:bidi="ar-SA"/>
              </w:rPr>
              <w:t>（查看10.1是否进行原因分析并制定纠正措施）</w:t>
            </w:r>
          </w:p>
        </w:tc>
        <w:tc>
          <w:tcPr>
            <w:tcW w:w="792" w:type="dxa"/>
          </w:tcPr>
          <w:p/>
          <w:p>
            <w:pPr>
              <w:pStyle w:val="2"/>
            </w:pPr>
          </w:p>
          <w:p>
            <w:pPr>
              <w:pStyle w:val="2"/>
              <w:rPr>
                <w:rFonts w:hint="eastAsia"/>
                <w:lang w:val="en-US" w:eastAsia="zh-CN"/>
              </w:rPr>
            </w:pPr>
          </w:p>
          <w:p>
            <w:pPr>
              <w:pStyle w:val="2"/>
              <w:ind w:left="0" w:leftChars="0" w:firstLine="0" w:firstLineChars="0"/>
              <w:rPr>
                <w:rFonts w:hint="default"/>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tcPr>
          <w:p>
            <w:pPr>
              <w:rPr>
                <w:rFonts w:hint="default"/>
                <w:lang w:val="en-US" w:eastAsia="zh-CN"/>
              </w:rPr>
            </w:pPr>
            <w:r>
              <w:rPr>
                <w:rFonts w:hint="eastAsia"/>
                <w:lang w:val="en-US" w:eastAsia="zh-CN"/>
              </w:rPr>
              <w:t>能源评审</w:t>
            </w:r>
          </w:p>
        </w:tc>
        <w:tc>
          <w:tcPr>
            <w:tcW w:w="960" w:type="dxa"/>
          </w:tcPr>
          <w:p>
            <w:pPr>
              <w:rPr>
                <w:rFonts w:hint="default"/>
                <w:lang w:val="en-US" w:eastAsia="zh-CN"/>
              </w:rPr>
            </w:pPr>
            <w:r>
              <w:rPr>
                <w:rFonts w:hint="eastAsia"/>
                <w:lang w:val="en-US" w:eastAsia="zh-CN"/>
              </w:rPr>
              <w:t>En6.3</w:t>
            </w:r>
          </w:p>
        </w:tc>
        <w:tc>
          <w:tcPr>
            <w:tcW w:w="10797"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提供：“怡达快速电梯有限公司能源评审报告”2021年8月10；内容包括：</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能源评审基础信息（目的和范围和边界、评审期、公司能源使用基本情况、淘汰能耗落后工艺、设备概况</w:t>
            </w:r>
            <w:r>
              <w:rPr>
                <w:rFonts w:hint="eastAsia" w:eastAsia="宋体" w:cs="Times New Roman"/>
                <w:kern w:val="2"/>
                <w:sz w:val="21"/>
                <w:szCs w:val="22"/>
                <w:lang w:val="en-US" w:eastAsia="zh-CN" w:bidi="ar-SA"/>
              </w:rPr>
              <w:t>等</w:t>
            </w:r>
            <w:r>
              <w:rPr>
                <w:rFonts w:hint="eastAsia" w:ascii="Times New Roman" w:hAnsi="Times New Roman" w:eastAsia="宋体" w:cs="Times New Roman"/>
                <w:kern w:val="2"/>
                <w:sz w:val="21"/>
                <w:szCs w:val="22"/>
                <w:lang w:val="en-US" w:eastAsia="zh-CN" w:bidi="ar-SA"/>
              </w:rPr>
              <w:t>）</w:t>
            </w:r>
            <w:r>
              <w:rPr>
                <w:rFonts w:hint="eastAsia" w:eastAsia="宋体" w:cs="Times New Roman"/>
                <w:kern w:val="2"/>
                <w:sz w:val="21"/>
                <w:szCs w:val="22"/>
                <w:lang w:val="en-US" w:eastAsia="zh-CN" w:bidi="ar-SA"/>
              </w:rPr>
              <w:t xml:space="preserve">; </w:t>
            </w:r>
            <w:r>
              <w:rPr>
                <w:rFonts w:hint="eastAsia" w:ascii="Times New Roman" w:hAnsi="Times New Roman" w:eastAsia="宋体" w:cs="Times New Roman"/>
                <w:kern w:val="2"/>
                <w:sz w:val="21"/>
                <w:szCs w:val="22"/>
                <w:lang w:val="en-US" w:eastAsia="zh-CN" w:bidi="ar-SA"/>
              </w:rPr>
              <w:t xml:space="preserve"> 公司管理体系覆盖范围包括：吸塑产品、注塑产品、压铸产品、围板产品、中空板、蜂窝板产品的设计、生产和销售所涉及的能源管理的能源购入、能源转换、能源分配传输和能源使用活动。</w:t>
            </w:r>
          </w:p>
          <w:p>
            <w:pPr>
              <w:adjustRightInd w:val="0"/>
              <w:snapToGrid w:val="0"/>
              <w:spacing w:line="400" w:lineRule="exact"/>
              <w:ind w:firstLine="420" w:firstLineChars="200"/>
              <w:jc w:val="left"/>
              <w:rPr>
                <w:rFonts w:ascii="宋体" w:hAnsi="宋体"/>
                <w:szCs w:val="21"/>
              </w:rPr>
            </w:pPr>
            <w:r>
              <w:rPr>
                <w:rFonts w:hint="eastAsia" w:ascii="宋体" w:hAnsi="宋体"/>
                <w:szCs w:val="21"/>
              </w:rPr>
              <w:t>评审期：2</w:t>
            </w:r>
            <w:r>
              <w:rPr>
                <w:rFonts w:ascii="宋体" w:hAnsi="宋体"/>
                <w:szCs w:val="21"/>
              </w:rPr>
              <w:t>0</w:t>
            </w:r>
            <w:r>
              <w:rPr>
                <w:rFonts w:hint="eastAsia" w:ascii="宋体" w:hAnsi="宋体"/>
                <w:szCs w:val="21"/>
                <w:lang w:val="en-US" w:eastAsia="zh-CN"/>
              </w:rPr>
              <w:t>20</w:t>
            </w:r>
            <w:r>
              <w:rPr>
                <w:rFonts w:hint="eastAsia" w:ascii="宋体" w:hAnsi="宋体"/>
                <w:szCs w:val="21"/>
              </w:rPr>
              <w:t>年1月1日～20</w:t>
            </w:r>
            <w:r>
              <w:rPr>
                <w:rFonts w:hint="eastAsia" w:ascii="宋体" w:hAnsi="宋体"/>
                <w:szCs w:val="21"/>
                <w:lang w:val="en-US" w:eastAsia="zh-CN"/>
              </w:rPr>
              <w:t>20</w:t>
            </w:r>
            <w:r>
              <w:rPr>
                <w:rFonts w:hint="eastAsia" w:ascii="宋体" w:hAnsi="宋体"/>
                <w:szCs w:val="21"/>
              </w:rPr>
              <w:t>年12月31日。</w:t>
            </w:r>
          </w:p>
          <w:p>
            <w:pPr>
              <w:adjustRightInd w:val="0"/>
              <w:snapToGrid w:val="0"/>
              <w:spacing w:line="400" w:lineRule="exact"/>
              <w:ind w:firstLine="420" w:firstLineChars="200"/>
              <w:jc w:val="left"/>
              <w:rPr>
                <w:rFonts w:hint="eastAsia" w:ascii="Times New Roman" w:hAnsi="Times New Roman" w:eastAsia="宋体" w:cs="Times New Roman"/>
                <w:kern w:val="2"/>
                <w:sz w:val="21"/>
                <w:szCs w:val="22"/>
                <w:lang w:val="en-US" w:eastAsia="zh-CN" w:bidi="ar-SA"/>
              </w:rPr>
            </w:pPr>
            <w:r>
              <w:rPr>
                <w:rFonts w:hint="eastAsia" w:ascii="宋体" w:hAnsi="宋体"/>
                <w:szCs w:val="21"/>
              </w:rPr>
              <w:t>基准期：2019年1月1日～2019年</w:t>
            </w:r>
            <w:r>
              <w:rPr>
                <w:rFonts w:ascii="宋体" w:hAnsi="宋体"/>
                <w:szCs w:val="21"/>
              </w:rPr>
              <w:t>12</w:t>
            </w:r>
            <w:r>
              <w:rPr>
                <w:rFonts w:hint="eastAsia" w:ascii="宋体" w:hAnsi="宋体"/>
                <w:szCs w:val="21"/>
              </w:rPr>
              <w:t>月31日生产</w:t>
            </w:r>
            <w:r>
              <w:rPr>
                <w:rFonts w:ascii="宋体" w:hAnsi="宋体"/>
                <w:szCs w:val="21"/>
              </w:rPr>
              <w:t>周期内平均值</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能源管理状况评审（能源方针目标、能源管理组织及职责、能源管理制度、能源管理、能源计量、能源统计管理、能源定额管理、近三年生产和节能技改项目</w:t>
            </w:r>
            <w:r>
              <w:rPr>
                <w:rFonts w:hint="eastAsia" w:eastAsia="宋体" w:cs="Times New Roman"/>
                <w:kern w:val="2"/>
                <w:sz w:val="21"/>
                <w:szCs w:val="22"/>
                <w:lang w:val="en-US" w:eastAsia="zh-CN" w:bidi="ar-SA"/>
              </w:rPr>
              <w:t>等</w:t>
            </w:r>
            <w:r>
              <w:rPr>
                <w:rFonts w:hint="eastAsia" w:ascii="Times New Roman" w:hAnsi="Times New Roman" w:eastAsia="宋体" w:cs="Times New Roman"/>
                <w:kern w:val="2"/>
                <w:sz w:val="21"/>
                <w:szCs w:val="22"/>
                <w:lang w:val="en-US" w:eastAsia="zh-CN" w:bidi="ar-SA"/>
              </w:rPr>
              <w:t>）</w:t>
            </w:r>
            <w:r>
              <w:rPr>
                <w:rFonts w:hint="eastAsia" w:eastAsia="宋体" w:cs="Times New Roman"/>
                <w:kern w:val="2"/>
                <w:sz w:val="21"/>
                <w:szCs w:val="22"/>
                <w:lang w:val="en-US" w:eastAsia="zh-CN" w:bidi="ar-SA"/>
              </w:rPr>
              <w:t>；</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能源利用状况评审（能源消耗结构分析、用能设备能耗分析等）；</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节能潜力分析和能源绩效优先改进机会识别（管理改进方法、项目改进方法）；</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未来能源的消耗分析；</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能源评审输出（能源绩效参数、能源基准和能源目标指标、影响主要能源使用的相关变量和参数控制）；</w:t>
            </w:r>
            <w:r>
              <w:rPr>
                <w:rFonts w:hint="eastAsia" w:cs="Times New Roman"/>
                <w:color w:val="0000FF"/>
                <w:kern w:val="2"/>
                <w:sz w:val="21"/>
                <w:szCs w:val="22"/>
                <w:lang w:val="en-US" w:eastAsia="zh-CN" w:bidi="ar-SA"/>
              </w:rPr>
              <w:t>能源评审报告中未具体描述影响电力使用（主要能源使用）的相关变量——问题项</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结论和建议（总体评价、建议）</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textAlignment w:val="auto"/>
              <w:rPr>
                <w:rFonts w:hint="default" w:eastAsia="宋体" w:cs="Times New Roman"/>
                <w:kern w:val="2"/>
                <w:sz w:val="21"/>
                <w:szCs w:val="22"/>
                <w:lang w:val="en-US" w:eastAsia="zh-CN" w:bidi="ar-SA"/>
              </w:rPr>
            </w:pPr>
            <w:r>
              <w:rPr>
                <w:rFonts w:hint="eastAsia" w:eastAsia="宋体" w:cs="Times New Roman"/>
                <w:kern w:val="2"/>
                <w:sz w:val="21"/>
                <w:szCs w:val="22"/>
                <w:lang w:val="en-US" w:eastAsia="zh-CN" w:bidi="ar-SA"/>
              </w:rPr>
              <w:t>以上内容基本满足标准要求。</w:t>
            </w:r>
          </w:p>
        </w:tc>
        <w:tc>
          <w:tcPr>
            <w:tcW w:w="79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lang w:val="en-US" w:eastAsia="zh-CN"/>
              </w:rPr>
            </w:pPr>
            <w:r>
              <w:rPr>
                <w:rFonts w:hint="eastAsia"/>
                <w:lang w:val="en-US" w:eastAsia="zh-CN"/>
              </w:rPr>
              <w:t>能源绩效参数、能源基准的确定</w:t>
            </w:r>
          </w:p>
        </w:tc>
        <w:tc>
          <w:tcPr>
            <w:tcW w:w="960" w:type="dxa"/>
          </w:tcPr>
          <w:p>
            <w:pPr>
              <w:rPr>
                <w:rFonts w:hint="eastAsia"/>
                <w:lang w:val="en-US" w:eastAsia="zh-CN"/>
              </w:rPr>
            </w:pPr>
            <w:r>
              <w:rPr>
                <w:rFonts w:hint="eastAsia"/>
                <w:lang w:val="en-US" w:eastAsia="zh-CN"/>
              </w:rPr>
              <w:t>En6.4/</w:t>
            </w:r>
          </w:p>
          <w:p>
            <w:pPr>
              <w:rPr>
                <w:rFonts w:hint="default"/>
                <w:lang w:val="en-US" w:eastAsia="zh-CN"/>
              </w:rPr>
            </w:pPr>
            <w:r>
              <w:rPr>
                <w:rFonts w:hint="eastAsia"/>
                <w:lang w:val="en-US" w:eastAsia="zh-CN"/>
              </w:rPr>
              <w:t>6.5</w:t>
            </w:r>
          </w:p>
        </w:tc>
        <w:tc>
          <w:tcPr>
            <w:tcW w:w="10797" w:type="dxa"/>
          </w:tcPr>
          <w:p>
            <w:pPr>
              <w:jc w:val="both"/>
              <w:rPr>
                <w:rFonts w:hint="default" w:ascii="宋体" w:hAnsi="宋体" w:eastAsia="宋体" w:cs="宋体"/>
                <w:sz w:val="21"/>
                <w:szCs w:val="21"/>
                <w:lang w:val="en-US" w:eastAsia="zh-CN"/>
              </w:rPr>
            </w:pPr>
            <w:r>
              <w:rPr>
                <w:rFonts w:hint="eastAsia"/>
                <w:lang w:val="en-US" w:eastAsia="zh-CN"/>
              </w:rPr>
              <w:t>该企业根据2017年、2018年、2019年的生产经营情况进行分析，</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因此企业制定的能源绩效参数为：</w:t>
            </w:r>
            <w:r>
              <w:rPr>
                <w:rFonts w:hint="eastAsia" w:cs="Times New Roman"/>
                <w:kern w:val="2"/>
                <w:sz w:val="21"/>
                <w:szCs w:val="22"/>
                <w:lang w:val="en-US" w:eastAsia="zh-CN" w:bidi="ar-SA"/>
              </w:rPr>
              <w:t>综合能耗</w:t>
            </w:r>
            <w:r>
              <w:rPr>
                <w:rFonts w:hint="eastAsia" w:ascii="Times New Roman" w:hAnsi="Times New Roman" w:eastAsia="宋体" w:cs="Times New Roman"/>
                <w:kern w:val="2"/>
                <w:sz w:val="21"/>
                <w:szCs w:val="22"/>
                <w:lang w:val="en-US" w:eastAsia="zh-CN" w:bidi="ar-SA"/>
              </w:rPr>
              <w:t>总量（</w:t>
            </w:r>
            <w:r>
              <w:rPr>
                <w:rFonts w:hint="eastAsia" w:cs="Times New Roman"/>
                <w:kern w:val="2"/>
                <w:sz w:val="21"/>
                <w:szCs w:val="22"/>
                <w:lang w:val="en-US" w:eastAsia="zh-CN" w:bidi="ar-SA"/>
              </w:rPr>
              <w:t>kgce</w:t>
            </w:r>
            <w:r>
              <w:rPr>
                <w:rFonts w:hint="eastAsia" w:ascii="Times New Roman" w:hAnsi="Times New Roman" w:eastAsia="宋体" w:cs="Times New Roman"/>
                <w:kern w:val="2"/>
                <w:sz w:val="21"/>
                <w:szCs w:val="22"/>
                <w:lang w:val="en-US" w:eastAsia="zh-CN" w:bidi="ar-SA"/>
              </w:rPr>
              <w:t>）和单位产品电耗（</w:t>
            </w:r>
            <w:r>
              <w:rPr>
                <w:rFonts w:hint="eastAsia" w:cs="Times New Roman"/>
                <w:kern w:val="2"/>
                <w:sz w:val="21"/>
                <w:szCs w:val="22"/>
                <w:lang w:val="en-US" w:eastAsia="zh-CN" w:bidi="ar-SA"/>
              </w:rPr>
              <w:t>kgce</w:t>
            </w:r>
            <w:r>
              <w:rPr>
                <w:rFonts w:hint="eastAsia" w:ascii="Times New Roman" w:hAnsi="Times New Roman" w:eastAsia="宋体" w:cs="Times New Roman"/>
                <w:kern w:val="2"/>
                <w:sz w:val="21"/>
                <w:szCs w:val="22"/>
                <w:lang w:val="en-US" w:eastAsia="zh-CN" w:bidi="ar-SA"/>
              </w:rPr>
              <w:t>/</w:t>
            </w:r>
            <w:r>
              <w:rPr>
                <w:rFonts w:hint="eastAsia" w:cs="Times New Roman"/>
                <w:kern w:val="2"/>
                <w:sz w:val="21"/>
                <w:szCs w:val="22"/>
                <w:lang w:val="en-US" w:eastAsia="zh-CN" w:bidi="ar-SA"/>
              </w:rPr>
              <w:t>台</w:t>
            </w:r>
            <w:r>
              <w:rPr>
                <w:rFonts w:hint="eastAsia" w:ascii="Times New Roman" w:hAnsi="Times New Roman" w:eastAsia="宋体" w:cs="Times New Roman"/>
                <w:kern w:val="2"/>
                <w:sz w:val="21"/>
                <w:szCs w:val="22"/>
                <w:lang w:val="en-US" w:eastAsia="zh-CN" w:bidi="ar-SA"/>
              </w:rPr>
              <w:t>）</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能源基准以上年度实际发生值为基准。</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根据能源评审报告分析：</w:t>
            </w:r>
            <w:r>
              <w:rPr>
                <w:rFonts w:hint="eastAsia" w:cs="Times New Roman"/>
                <w:kern w:val="2"/>
                <w:sz w:val="21"/>
                <w:szCs w:val="22"/>
                <w:lang w:val="en-US" w:eastAsia="zh-CN" w:bidi="ar-SA"/>
              </w:rPr>
              <w:t>怡达快速电梯有限公司</w:t>
            </w:r>
            <w:r>
              <w:rPr>
                <w:rFonts w:hint="eastAsia" w:ascii="Times New Roman" w:hAnsi="Times New Roman" w:eastAsia="宋体" w:cs="Times New Roman"/>
                <w:kern w:val="2"/>
                <w:sz w:val="21"/>
                <w:szCs w:val="22"/>
                <w:lang w:val="en-US" w:eastAsia="zh-CN" w:bidi="ar-SA"/>
              </w:rPr>
              <w:t>的能源绩效参数和能源基准确定如下;</w:t>
            </w:r>
          </w:p>
          <w:tbl>
            <w:tblPr>
              <w:tblStyle w:val="10"/>
              <w:tblW w:w="47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2855"/>
              <w:gridCol w:w="2855"/>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14" w:type="pct"/>
                  <w:tcBorders>
                    <w:top w:val="double" w:color="auto" w:sz="4" w:space="0"/>
                    <w:left w:val="double" w:color="auto" w:sz="4" w:space="0"/>
                  </w:tcBorders>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  目</w:t>
                  </w:r>
                </w:p>
              </w:tc>
              <w:tc>
                <w:tcPr>
                  <w:tcW w:w="1428" w:type="pct"/>
                  <w:tcBorders>
                    <w:top w:val="double" w:color="auto" w:sz="4" w:space="0"/>
                  </w:tcBorders>
                  <w:noWrap w:val="0"/>
                  <w:vAlign w:val="center"/>
                </w:tcPr>
                <w:p>
                  <w:pPr>
                    <w:widowControl/>
                    <w:jc w:val="center"/>
                    <w:rPr>
                      <w:rFonts w:hint="eastAsia" w:ascii="宋体" w:hAnsi="宋体" w:cs="宋体"/>
                      <w:b/>
                      <w:bCs/>
                      <w:kern w:val="0"/>
                      <w:sz w:val="20"/>
                      <w:szCs w:val="20"/>
                    </w:rPr>
                  </w:pPr>
                  <w:r>
                    <w:rPr>
                      <w:rFonts w:hint="eastAsia" w:ascii="宋体" w:hAnsi="宋体" w:cs="宋体"/>
                      <w:b/>
                      <w:bCs/>
                      <w:kern w:val="0"/>
                      <w:sz w:val="20"/>
                      <w:szCs w:val="20"/>
                      <w:lang w:val="en-US" w:eastAsia="zh-CN"/>
                    </w:rPr>
                    <w:t>产品生产量</w:t>
                  </w:r>
                </w:p>
              </w:tc>
              <w:tc>
                <w:tcPr>
                  <w:tcW w:w="1428" w:type="pct"/>
                  <w:tcBorders>
                    <w:top w:val="double" w:color="auto" w:sz="4" w:space="0"/>
                  </w:tcBorders>
                  <w:noWrap w:val="0"/>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综合能耗</w:t>
                  </w:r>
                </w:p>
              </w:tc>
              <w:tc>
                <w:tcPr>
                  <w:tcW w:w="1428" w:type="pct"/>
                  <w:tcBorders>
                    <w:top w:val="double" w:color="auto" w:sz="4" w:space="0"/>
                  </w:tcBorders>
                  <w:noWrap w:val="0"/>
                  <w:vAlign w:val="center"/>
                </w:tcPr>
                <w:p>
                  <w:pPr>
                    <w:widowControl/>
                    <w:rPr>
                      <w:rFonts w:ascii="宋体" w:hAnsi="宋体" w:cs="宋体"/>
                      <w:b/>
                      <w:bCs/>
                      <w:kern w:val="0"/>
                      <w:sz w:val="20"/>
                      <w:szCs w:val="20"/>
                    </w:rPr>
                  </w:pPr>
                  <w:r>
                    <w:rPr>
                      <w:rFonts w:hint="eastAsia" w:ascii="黑体" w:hAnsi="黑体" w:eastAsia="黑体"/>
                      <w:szCs w:val="21"/>
                      <w:lang w:val="en-US" w:eastAsia="zh-CN"/>
                    </w:rPr>
                    <w:t>单位</w:t>
                  </w:r>
                  <w:r>
                    <w:rPr>
                      <w:rFonts w:hint="eastAsia" w:ascii="黑体" w:hAnsi="黑体" w:eastAsia="黑体"/>
                      <w:szCs w:val="21"/>
                    </w:rPr>
                    <w:t>产品单位综合能耗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14" w:type="pct"/>
                  <w:tcBorders>
                    <w:left w:val="double" w:color="auto" w:sz="4" w:space="0"/>
                  </w:tcBorders>
                  <w:noWrap/>
                  <w:vAlign w:val="center"/>
                </w:tcPr>
                <w:p>
                  <w:pPr>
                    <w:jc w:val="center"/>
                    <w:rPr>
                      <w:rFonts w:ascii="宋体" w:hAnsi="宋体" w:cs="宋体"/>
                      <w:b/>
                      <w:bCs/>
                      <w:kern w:val="0"/>
                      <w:sz w:val="20"/>
                      <w:szCs w:val="20"/>
                    </w:rPr>
                  </w:pPr>
                  <w:r>
                    <w:rPr>
                      <w:rFonts w:hint="eastAsia" w:ascii="宋体" w:hAnsi="宋体" w:cs="宋体"/>
                      <w:b/>
                      <w:bCs/>
                      <w:kern w:val="0"/>
                      <w:sz w:val="20"/>
                      <w:szCs w:val="20"/>
                    </w:rPr>
                    <w:t>单  位</w:t>
                  </w:r>
                </w:p>
              </w:tc>
              <w:tc>
                <w:tcPr>
                  <w:tcW w:w="1428" w:type="pct"/>
                  <w:noWrap w:val="0"/>
                  <w:vAlign w:val="center"/>
                </w:tcPr>
                <w:p>
                  <w:pPr>
                    <w:jc w:val="center"/>
                    <w:rPr>
                      <w:rFonts w:hint="eastAsia"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台</w:t>
                  </w:r>
                </w:p>
              </w:tc>
              <w:tc>
                <w:tcPr>
                  <w:tcW w:w="1428" w:type="pct"/>
                  <w:noWrap w:val="0"/>
                  <w:vAlign w:val="center"/>
                </w:tcPr>
                <w:p>
                  <w:pPr>
                    <w:widowControl/>
                    <w:jc w:val="center"/>
                    <w:rPr>
                      <w:rFonts w:hint="eastAsia" w:ascii="宋体" w:hAnsi="宋体" w:eastAsia="宋体" w:cs="宋体"/>
                      <w:bCs/>
                      <w:kern w:val="0"/>
                      <w:szCs w:val="21"/>
                      <w:lang w:eastAsia="zh-CN"/>
                    </w:rPr>
                  </w:pPr>
                  <w:r>
                    <w:rPr>
                      <w:rFonts w:hint="eastAsia" w:ascii="宋体" w:hAnsi="宋体" w:cs="宋体"/>
                      <w:b/>
                      <w:bCs/>
                      <w:kern w:val="0"/>
                      <w:sz w:val="20"/>
                      <w:szCs w:val="20"/>
                      <w:lang w:val="en-US" w:eastAsia="zh-CN"/>
                    </w:rPr>
                    <w:t>Kgce</w:t>
                  </w:r>
                </w:p>
              </w:tc>
              <w:tc>
                <w:tcPr>
                  <w:tcW w:w="1428" w:type="pct"/>
                  <w:noWrap w:val="0"/>
                  <w:vAlign w:val="center"/>
                </w:tcPr>
                <w:p>
                  <w:pPr>
                    <w:widowControl/>
                    <w:jc w:val="center"/>
                    <w:rPr>
                      <w:rFonts w:hint="default" w:ascii="宋体" w:hAnsi="宋体" w:eastAsia="宋体" w:cs="宋体"/>
                      <w:bCs/>
                      <w:kern w:val="0"/>
                      <w:szCs w:val="21"/>
                      <w:lang w:val="en-US" w:eastAsia="zh-CN"/>
                    </w:rPr>
                  </w:pPr>
                  <w:r>
                    <w:rPr>
                      <w:rFonts w:hint="eastAsia" w:ascii="宋体" w:hAnsi="宋体" w:cs="宋体"/>
                      <w:bCs/>
                      <w:kern w:val="0"/>
                      <w:szCs w:val="21"/>
                      <w:lang w:val="en-US" w:eastAsia="zh-CN"/>
                    </w:rPr>
                    <w:t>Kgce/台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4" w:type="pct"/>
                  <w:tcBorders>
                    <w:left w:val="double" w:color="auto" w:sz="4" w:space="0"/>
                  </w:tcBorders>
                  <w:noWrap/>
                  <w:vAlign w:val="center"/>
                </w:tcPr>
                <w:p>
                  <w:pPr>
                    <w:jc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2017</w:t>
                  </w:r>
                </w:p>
              </w:tc>
              <w:tc>
                <w:tcPr>
                  <w:tcW w:w="1428" w:type="pct"/>
                  <w:noWrap w:val="0"/>
                  <w:vAlign w:val="bottom"/>
                </w:tcPr>
                <w:p>
                  <w:pPr>
                    <w:jc w:val="center"/>
                    <w:rPr>
                      <w:rFonts w:hint="default" w:ascii="宋体" w:hAnsi="宋体" w:cs="宋体"/>
                      <w:b/>
                      <w:bCs/>
                      <w:kern w:val="0"/>
                      <w:sz w:val="20"/>
                      <w:szCs w:val="20"/>
                      <w:lang w:val="en-US" w:eastAsia="zh-CN"/>
                    </w:rPr>
                  </w:pPr>
                  <w:r>
                    <w:rPr>
                      <w:rFonts w:hint="default" w:ascii="宋体" w:hAnsi="宋体" w:cs="宋体"/>
                      <w:b/>
                      <w:bCs/>
                      <w:kern w:val="0"/>
                      <w:sz w:val="20"/>
                      <w:szCs w:val="20"/>
                      <w:lang w:val="en-US" w:eastAsia="zh-CN"/>
                    </w:rPr>
                    <w:t>5992</w:t>
                  </w:r>
                </w:p>
              </w:tc>
              <w:tc>
                <w:tcPr>
                  <w:tcW w:w="1428"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235728.38</w:t>
                  </w:r>
                </w:p>
              </w:tc>
              <w:tc>
                <w:tcPr>
                  <w:tcW w:w="1428" w:type="pct"/>
                  <w:noWrap w:val="0"/>
                  <w:vAlign w:val="bottom"/>
                </w:tcPr>
                <w:p>
                  <w:pPr>
                    <w:keepNext w:val="0"/>
                    <w:keepLines w:val="0"/>
                    <w:widowControl/>
                    <w:suppressLineNumbers w:val="0"/>
                    <w:ind w:firstLine="880" w:firstLineChars="400"/>
                    <w:jc w:val="left"/>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4" w:type="pct"/>
                  <w:tcBorders>
                    <w:left w:val="double" w:color="auto" w:sz="4" w:space="0"/>
                  </w:tcBorders>
                  <w:noWrap/>
                  <w:vAlign w:val="center"/>
                </w:tcPr>
                <w:p>
                  <w:pPr>
                    <w:jc w:val="center"/>
                    <w:rPr>
                      <w:rFonts w:hint="default" w:ascii="宋体" w:hAnsi="宋体" w:cs="宋体"/>
                      <w:b/>
                      <w:bCs/>
                      <w:kern w:val="0"/>
                      <w:sz w:val="20"/>
                      <w:szCs w:val="20"/>
                      <w:lang w:val="en-US" w:eastAsia="zh-CN"/>
                    </w:rPr>
                  </w:pPr>
                  <w:r>
                    <w:rPr>
                      <w:rFonts w:hint="eastAsia" w:ascii="宋体" w:hAnsi="宋体" w:cs="宋体"/>
                      <w:b/>
                      <w:bCs/>
                      <w:kern w:val="0"/>
                      <w:sz w:val="20"/>
                      <w:szCs w:val="20"/>
                      <w:lang w:val="en-US" w:eastAsia="zh-CN"/>
                    </w:rPr>
                    <w:t>2018</w:t>
                  </w:r>
                </w:p>
              </w:tc>
              <w:tc>
                <w:tcPr>
                  <w:tcW w:w="1428" w:type="pct"/>
                  <w:noWrap w:val="0"/>
                  <w:vAlign w:val="bottom"/>
                </w:tcPr>
                <w:p>
                  <w:pPr>
                    <w:jc w:val="center"/>
                    <w:rPr>
                      <w:rFonts w:hint="eastAsia" w:ascii="宋体" w:hAnsi="宋体" w:cs="宋体"/>
                      <w:b/>
                      <w:bCs/>
                      <w:kern w:val="0"/>
                      <w:sz w:val="20"/>
                      <w:szCs w:val="20"/>
                      <w:lang w:val="en-US" w:eastAsia="zh-CN"/>
                    </w:rPr>
                  </w:pPr>
                  <w:r>
                    <w:rPr>
                      <w:rFonts w:hint="eastAsia" w:ascii="宋体" w:hAnsi="宋体" w:cs="宋体"/>
                      <w:b/>
                      <w:bCs/>
                      <w:kern w:val="0"/>
                      <w:sz w:val="20"/>
                      <w:szCs w:val="20"/>
                      <w:lang w:val="en-US" w:eastAsia="zh-CN"/>
                    </w:rPr>
                    <w:t>6522</w:t>
                  </w:r>
                </w:p>
              </w:tc>
              <w:tc>
                <w:tcPr>
                  <w:tcW w:w="1428"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252150.98</w:t>
                  </w:r>
                </w:p>
              </w:tc>
              <w:tc>
                <w:tcPr>
                  <w:tcW w:w="1428" w:type="pct"/>
                  <w:noWrap w:val="0"/>
                  <w:vAlign w:val="bottom"/>
                </w:tcPr>
                <w:p>
                  <w:pPr>
                    <w:keepNext w:val="0"/>
                    <w:keepLines w:val="0"/>
                    <w:widowControl/>
                    <w:suppressLineNumbers w:val="0"/>
                    <w:ind w:firstLine="880" w:firstLineChars="400"/>
                    <w:jc w:val="left"/>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4" w:type="pct"/>
                  <w:tcBorders>
                    <w:left w:val="double" w:color="auto" w:sz="4" w:space="0"/>
                  </w:tcBorders>
                  <w:noWrap/>
                  <w:vAlign w:val="center"/>
                </w:tcPr>
                <w:p>
                  <w:pPr>
                    <w:jc w:val="center"/>
                    <w:rPr>
                      <w:rFonts w:hint="default" w:ascii="宋体" w:hAnsi="宋体" w:cs="宋体"/>
                      <w:b/>
                      <w:bCs/>
                      <w:kern w:val="0"/>
                      <w:sz w:val="20"/>
                      <w:szCs w:val="20"/>
                      <w:lang w:val="en-US" w:eastAsia="zh-CN"/>
                    </w:rPr>
                  </w:pPr>
                  <w:r>
                    <w:rPr>
                      <w:rFonts w:hint="eastAsia" w:ascii="宋体" w:hAnsi="宋体" w:cs="宋体"/>
                      <w:b/>
                      <w:bCs/>
                      <w:kern w:val="0"/>
                      <w:sz w:val="20"/>
                      <w:szCs w:val="20"/>
                      <w:lang w:val="en-US" w:eastAsia="zh-CN"/>
                    </w:rPr>
                    <w:t>2019</w:t>
                  </w:r>
                </w:p>
              </w:tc>
              <w:tc>
                <w:tcPr>
                  <w:tcW w:w="1428" w:type="pct"/>
                  <w:noWrap w:val="0"/>
                  <w:vAlign w:val="bottom"/>
                </w:tcPr>
                <w:p>
                  <w:pPr>
                    <w:jc w:val="center"/>
                    <w:rPr>
                      <w:rFonts w:hint="eastAsia" w:ascii="宋体" w:hAnsi="宋体" w:cs="宋体"/>
                      <w:b/>
                      <w:bCs/>
                      <w:kern w:val="0"/>
                      <w:sz w:val="20"/>
                      <w:szCs w:val="20"/>
                      <w:lang w:val="en-US" w:eastAsia="zh-CN"/>
                    </w:rPr>
                  </w:pPr>
                  <w:r>
                    <w:rPr>
                      <w:rFonts w:hint="eastAsia" w:ascii="宋体" w:hAnsi="宋体" w:cs="宋体"/>
                      <w:b/>
                      <w:bCs/>
                      <w:kern w:val="0"/>
                      <w:sz w:val="20"/>
                      <w:szCs w:val="20"/>
                      <w:lang w:val="en-US" w:eastAsia="zh-CN"/>
                    </w:rPr>
                    <w:t>7912</w:t>
                  </w:r>
                </w:p>
              </w:tc>
              <w:tc>
                <w:tcPr>
                  <w:tcW w:w="1428"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287879.77</w:t>
                  </w:r>
                </w:p>
              </w:tc>
              <w:tc>
                <w:tcPr>
                  <w:tcW w:w="1428" w:type="pct"/>
                  <w:noWrap w:val="0"/>
                  <w:vAlign w:val="bottom"/>
                </w:tcPr>
                <w:p>
                  <w:pPr>
                    <w:keepNext w:val="0"/>
                    <w:keepLines w:val="0"/>
                    <w:widowControl/>
                    <w:suppressLineNumbers w:val="0"/>
                    <w:ind w:firstLine="880" w:firstLineChars="400"/>
                    <w:jc w:val="left"/>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36.39</w:t>
                  </w:r>
                </w:p>
              </w:tc>
            </w:tr>
          </w:tbl>
          <w:p>
            <w:pPr>
              <w:pStyle w:val="2"/>
              <w:rPr>
                <w:rFonts w:hint="eastAsia" w:ascii="Times New Roman" w:hAnsi="Times New Roman" w:eastAsia="宋体" w:cs="Times New Roman"/>
                <w:kern w:val="2"/>
                <w:sz w:val="21"/>
                <w:szCs w:val="22"/>
                <w:lang w:val="en-US" w:eastAsia="zh-CN" w:bidi="ar-SA"/>
              </w:rPr>
            </w:pPr>
          </w:p>
          <w:p>
            <w:pPr>
              <w:pStyle w:val="2"/>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能耗基准为三年的平均值，即</w:t>
            </w:r>
            <w:r>
              <w:rPr>
                <w:rFonts w:hint="eastAsia" w:cs="Times New Roman"/>
                <w:kern w:val="2"/>
                <w:sz w:val="20"/>
                <w:szCs w:val="22"/>
                <w:lang w:val="en-US" w:eastAsia="zh-CN" w:bidi="ar-SA"/>
              </w:rPr>
              <w:t>38.13</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p>
          <w:p>
            <w:pPr>
              <w:pStyle w:val="2"/>
              <w:rPr>
                <w:rFonts w:hint="eastAsia" w:ascii="Times New Roman" w:hAnsi="Times New Roman" w:eastAsia="宋体" w:cs="Times New Roman"/>
                <w:kern w:val="2"/>
                <w:sz w:val="21"/>
                <w:szCs w:val="22"/>
                <w:lang w:val="en-US" w:eastAsia="zh-CN" w:bidi="ar-SA"/>
              </w:rPr>
            </w:pPr>
          </w:p>
          <w:p>
            <w:pPr>
              <w:pStyle w:val="2"/>
              <w:rPr>
                <w:rFonts w:hint="default" w:ascii="宋体" w:hAnsi="宋体" w:eastAsia="宋体" w:cs="宋体"/>
                <w:kern w:val="2"/>
                <w:sz w:val="21"/>
                <w:szCs w:val="21"/>
                <w:lang w:val="en-US" w:eastAsia="zh-CN" w:bidi="ar-SA"/>
              </w:rPr>
            </w:pPr>
            <w:r>
              <w:rPr>
                <w:rFonts w:hint="eastAsia" w:cs="Times New Roman"/>
                <w:kern w:val="2"/>
                <w:sz w:val="21"/>
                <w:szCs w:val="22"/>
                <w:lang w:val="en-US" w:eastAsia="zh-CN" w:bidi="ar-SA"/>
              </w:rPr>
              <w:t>2020年的单位产品能耗目标为：</w:t>
            </w:r>
            <w:r>
              <w:rPr>
                <w:rFonts w:hint="eastAsia" w:cs="Times New Roman"/>
                <w:kern w:val="2"/>
                <w:sz w:val="20"/>
                <w:szCs w:val="22"/>
                <w:lang w:val="en-US" w:eastAsia="zh-CN" w:bidi="ar-SA"/>
              </w:rPr>
              <w:t>38.13</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p>
        </w:tc>
        <w:tc>
          <w:tcPr>
            <w:tcW w:w="792" w:type="dxa"/>
          </w:tcPr>
          <w:p/>
          <w:p>
            <w:pPr>
              <w:pStyle w:val="2"/>
            </w:pPr>
          </w:p>
          <w:p>
            <w:pPr>
              <w:pStyle w:val="2"/>
            </w:pPr>
          </w:p>
          <w:p>
            <w:pPr>
              <w:pStyle w:val="2"/>
              <w:rPr>
                <w:rFonts w:hint="eastAsia"/>
                <w:lang w:val="en-US" w:eastAsia="zh-CN"/>
              </w:rPr>
            </w:pPr>
            <w:r>
              <w:rPr>
                <w:rFonts w:hint="eastAsia"/>
                <w:lang w:val="en-US" w:eastAsia="zh-CN"/>
              </w:rPr>
              <w:t>Y</w:t>
            </w:r>
          </w:p>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160" w:type="dxa"/>
          </w:tcPr>
          <w:p>
            <w:pPr>
              <w:rPr>
                <w:rFonts w:hint="default"/>
                <w:lang w:val="en-US" w:eastAsia="zh-CN"/>
              </w:rPr>
            </w:pPr>
            <w:r>
              <w:rPr>
                <w:rFonts w:hint="eastAsia"/>
                <w:lang w:val="en-US" w:eastAsia="zh-CN"/>
              </w:rPr>
              <w:t>能源数据的收集策划</w:t>
            </w:r>
          </w:p>
        </w:tc>
        <w:tc>
          <w:tcPr>
            <w:tcW w:w="960" w:type="dxa"/>
          </w:tcPr>
          <w:p>
            <w:pPr>
              <w:rPr>
                <w:rFonts w:hint="default"/>
                <w:lang w:val="en-US" w:eastAsia="zh-CN"/>
              </w:rPr>
            </w:pPr>
            <w:r>
              <w:rPr>
                <w:rFonts w:hint="eastAsia"/>
                <w:lang w:val="en-US" w:eastAsia="zh-CN"/>
              </w:rPr>
              <w:t>En6.6</w:t>
            </w:r>
          </w:p>
        </w:tc>
        <w:tc>
          <w:tcPr>
            <w:tcW w:w="10797"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cs="Times New Roman"/>
                <w:szCs w:val="22"/>
                <w:lang w:val="en-US" w:eastAsia="zh-CN"/>
              </w:rPr>
            </w:pPr>
            <w:r>
              <w:rPr>
                <w:rFonts w:hint="eastAsia" w:cs="Times New Roman"/>
                <w:szCs w:val="22"/>
                <w:lang w:val="en-US" w:eastAsia="zh-CN"/>
              </w:rPr>
              <w:t>该企业根据能源统计和能源核算以及成本考核等因素，对能源数据的收集进行了策划，并通过</w:t>
            </w:r>
            <w:r>
              <w:rPr>
                <w:rFonts w:hint="eastAsia" w:ascii="宋体" w:hAnsi="宋体" w:eastAsia="宋体" w:cs="Times New Roman"/>
                <w:szCs w:val="22"/>
                <w:lang w:val="en-US" w:eastAsia="zh-CN"/>
              </w:rPr>
              <w:t>生产统计表（日报表）的形式予以展示，按照数据收集策划的要求对能源消耗进行成本核算和考核，基本满足企业能源管理的要求。</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s="Times New Roman"/>
                <w:szCs w:val="22"/>
                <w:lang w:val="en-US" w:eastAsia="zh-CN"/>
              </w:rPr>
            </w:pPr>
            <w:r>
              <w:rPr>
                <w:rFonts w:hint="eastAsia" w:ascii="宋体" w:hAnsi="宋体" w:eastAsia="宋体" w:cs="Times New Roman"/>
                <w:szCs w:val="22"/>
                <w:lang w:val="en-US" w:eastAsia="zh-CN"/>
              </w:rPr>
              <w:t>但企业并未形成文件化或准则要求，建议企业逐步改进，已与企业进行沟通。</w:t>
            </w:r>
          </w:p>
        </w:tc>
        <w:tc>
          <w:tcPr>
            <w:tcW w:w="792" w:type="dxa"/>
          </w:tcPr>
          <w:p/>
          <w:p>
            <w:pPr>
              <w:pStyle w:val="2"/>
              <w:rPr>
                <w:rFonts w:hint="eastAsia"/>
                <w:lang w:val="en-US" w:eastAsia="zh-CN"/>
              </w:rPr>
            </w:pPr>
            <w:r>
              <w:rPr>
                <w:rFonts w:hint="eastAsia"/>
                <w:lang w:val="en-US" w:eastAsia="zh-CN"/>
              </w:rPr>
              <w:t>Y</w:t>
            </w:r>
          </w:p>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160" w:type="dxa"/>
          </w:tcPr>
          <w:p>
            <w:pPr>
              <w:rPr>
                <w:rFonts w:hint="default"/>
                <w:lang w:val="en-US" w:eastAsia="zh-CN"/>
              </w:rPr>
            </w:pPr>
            <w:r>
              <w:rPr>
                <w:rFonts w:hint="eastAsia"/>
                <w:lang w:val="en-US" w:eastAsia="zh-CN"/>
              </w:rPr>
              <w:t>成文信息</w:t>
            </w:r>
          </w:p>
        </w:tc>
        <w:tc>
          <w:tcPr>
            <w:tcW w:w="960" w:type="dxa"/>
          </w:tcPr>
          <w:p>
            <w:pPr>
              <w:rPr>
                <w:rFonts w:hint="default"/>
                <w:lang w:val="en-US" w:eastAsia="zh-CN"/>
              </w:rPr>
            </w:pPr>
            <w:r>
              <w:rPr>
                <w:rFonts w:hint="eastAsia"/>
                <w:lang w:val="en-US" w:eastAsia="zh-CN"/>
              </w:rPr>
              <w:t>En7.5</w:t>
            </w:r>
          </w:p>
        </w:tc>
        <w:tc>
          <w:tcPr>
            <w:tcW w:w="10797"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策划编制有《文件控制程序》和《记录控制程序》，内容规定了公司能源管理有关的文件和记录进行有效控制和管理的要求。建立“能源体系文件清单”和“记录清单”</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公司编制有“能源管理手册”、22个“能源管理程序文件”、相应“焊接工艺卡片、安装过程作业指导书”、“设备管理制度”以及相关各类记录清单； 建立外来文件清单，有专人管理。</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抽查《能源管理手册》、《能源评审控制程序》、《内部审核控制程序》、《耗能设备维护保养管理规定》、《生产单位用气、用电、用水记录》等编制、审核、批准齐全，确保其适宜性和充分性。</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本部门建立“文件发放记录”，领用人有签名，以确保需要场所可获得并适用。本部门建立“文件变更（换版）记录”，领用人有签名，以确保文件有效并适用。</w:t>
            </w:r>
          </w:p>
        </w:tc>
        <w:tc>
          <w:tcPr>
            <w:tcW w:w="792" w:type="dxa"/>
          </w:tcPr>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eastAsia="宋体"/>
                <w:lang w:val="en-US" w:eastAsia="zh-CN"/>
              </w:rPr>
            </w:pPr>
            <w:r>
              <w:rPr>
                <w:rFonts w:hint="eastAsia"/>
                <w:lang w:val="en-US" w:eastAsia="zh-CN"/>
              </w:rPr>
              <w:t>运行控制、沟通</w:t>
            </w:r>
          </w:p>
        </w:tc>
        <w:tc>
          <w:tcPr>
            <w:tcW w:w="960" w:type="dxa"/>
          </w:tcPr>
          <w:p>
            <w:pPr>
              <w:rPr>
                <w:rFonts w:hint="eastAsia"/>
                <w:lang w:val="en-US" w:eastAsia="zh-CN"/>
              </w:rPr>
            </w:pPr>
            <w:r>
              <w:rPr>
                <w:rFonts w:hint="eastAsia"/>
                <w:lang w:val="en-US" w:eastAsia="zh-CN"/>
              </w:rPr>
              <w:t>En7.4/</w:t>
            </w:r>
          </w:p>
          <w:p>
            <w:pPr>
              <w:rPr>
                <w:rFonts w:hint="default"/>
                <w:lang w:val="en-US" w:eastAsia="zh-CN"/>
              </w:rPr>
            </w:pPr>
            <w:r>
              <w:rPr>
                <w:rFonts w:hint="eastAsia"/>
                <w:lang w:val="en-US" w:eastAsia="zh-CN"/>
              </w:rPr>
              <w:t>6.6/</w:t>
            </w:r>
          </w:p>
          <w:p>
            <w:pPr>
              <w:rPr>
                <w:rFonts w:hint="default"/>
                <w:lang w:val="en-US" w:eastAsia="zh-CN"/>
              </w:rPr>
            </w:pPr>
            <w:r>
              <w:rPr>
                <w:rFonts w:hint="eastAsia"/>
                <w:lang w:val="en-US" w:eastAsia="zh-CN"/>
              </w:rPr>
              <w:t>8.1/9.1.1</w:t>
            </w:r>
          </w:p>
        </w:tc>
        <w:tc>
          <w:tcPr>
            <w:tcW w:w="10797" w:type="dxa"/>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eastAsia="宋体" w:cs="Times New Roman"/>
                <w:lang w:val="en-US" w:eastAsia="zh-CN"/>
              </w:rPr>
            </w:pPr>
            <w:r>
              <w:rPr>
                <w:rFonts w:hint="eastAsia" w:ascii="宋体" w:hAnsi="宋体" w:cs="Times New Roman"/>
                <w:lang w:val="en-US" w:eastAsia="zh-CN"/>
              </w:rPr>
              <w:t>怡达快速电梯有限公司</w:t>
            </w:r>
            <w:r>
              <w:rPr>
                <w:rFonts w:hint="eastAsia" w:ascii="宋体" w:hAnsi="宋体" w:eastAsia="宋体" w:cs="Times New Roman"/>
                <w:lang w:val="en-US" w:eastAsia="zh-CN"/>
              </w:rPr>
              <w:t>是一家专业研发、生产和销售</w:t>
            </w:r>
            <w:r>
              <w:rPr>
                <w:rFonts w:hint="eastAsia" w:ascii="宋体" w:hAnsi="宋体" w:cs="Times New Roman"/>
                <w:lang w:val="en-US" w:eastAsia="zh-CN"/>
              </w:rPr>
              <w:t>启动器、继电器</w:t>
            </w:r>
            <w:r>
              <w:rPr>
                <w:rFonts w:hint="eastAsia" w:ascii="宋体" w:hAnsi="宋体" w:eastAsia="宋体" w:cs="Times New Roman"/>
                <w:lang w:val="en-US" w:eastAsia="zh-CN"/>
              </w:rPr>
              <w:t>的企业，公司产品广泛应用于</w:t>
            </w:r>
            <w:r>
              <w:rPr>
                <w:rFonts w:hint="eastAsia" w:ascii="宋体" w:hAnsi="宋体" w:cs="Times New Roman"/>
                <w:lang w:val="en-US" w:eastAsia="zh-CN"/>
              </w:rPr>
              <w:t>启动器、继电器</w:t>
            </w:r>
            <w:r>
              <w:rPr>
                <w:rFonts w:hint="eastAsia" w:ascii="宋体" w:hAnsi="宋体" w:eastAsia="宋体" w:cs="Times New Roman"/>
                <w:lang w:val="en-US" w:eastAsia="zh-CN"/>
              </w:rPr>
              <w:t>的生产、周转、运输、仓储等各个环节。引进</w:t>
            </w:r>
            <w:r>
              <w:rPr>
                <w:rFonts w:hint="eastAsia" w:ascii="宋体" w:hAnsi="宋体" w:cs="Times New Roman"/>
                <w:lang w:val="en-US" w:eastAsia="zh-CN"/>
              </w:rPr>
              <w:t>意大利</w:t>
            </w:r>
            <w:r>
              <w:rPr>
                <w:rFonts w:hint="eastAsia" w:ascii="宋体" w:hAnsi="宋体" w:eastAsia="宋体" w:cs="Times New Roman"/>
                <w:lang w:val="en-US" w:eastAsia="zh-CN"/>
              </w:rPr>
              <w:t>的先进技术和设备,为国内外</w:t>
            </w:r>
            <w:r>
              <w:rPr>
                <w:rFonts w:hint="eastAsia" w:ascii="宋体" w:hAnsi="宋体" w:cs="Times New Roman"/>
                <w:lang w:val="en-US" w:eastAsia="zh-CN"/>
              </w:rPr>
              <w:t>电器</w:t>
            </w:r>
            <w:r>
              <w:rPr>
                <w:rFonts w:hint="eastAsia" w:ascii="宋体" w:hAnsi="宋体" w:eastAsia="宋体" w:cs="Times New Roman"/>
                <w:lang w:val="en-US" w:eastAsia="zh-CN"/>
              </w:rPr>
              <w:t>客户提供高品质、的</w:t>
            </w:r>
            <w:r>
              <w:rPr>
                <w:rFonts w:hint="eastAsia" w:ascii="宋体" w:hAnsi="宋体" w:cs="Times New Roman"/>
                <w:lang w:val="en-US" w:eastAsia="zh-CN"/>
              </w:rPr>
              <w:t>启动器、继电器</w:t>
            </w:r>
            <w:r>
              <w:rPr>
                <w:rFonts w:hint="eastAsia" w:ascii="宋体" w:hAnsi="宋体" w:eastAsia="宋体" w:cs="Times New Roman"/>
                <w:lang w:val="en-US" w:eastAsia="zh-CN"/>
              </w:rPr>
              <w:t>。</w:t>
            </w:r>
            <w:r>
              <w:rPr>
                <w:rFonts w:hint="eastAsia" w:ascii="宋体" w:hAnsi="宋体" w:cs="Times New Roman"/>
                <w:lang w:val="en-US" w:eastAsia="zh-CN"/>
              </w:rPr>
              <w:t>星帅尔</w:t>
            </w:r>
            <w:r>
              <w:rPr>
                <w:rFonts w:hint="eastAsia" w:ascii="宋体" w:hAnsi="宋体" w:eastAsia="宋体" w:cs="Times New Roman"/>
                <w:lang w:val="en-US" w:eastAsia="zh-CN"/>
              </w:rPr>
              <w:t>在发展历程中，秉承“质量和创新是企业生命线”的理念形成具有专业技术的设计团队，配备专业的材料检测室、运输包装实验室，为客户设计和定制实用、安全、经济的整体包装解决方案。</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eastAsia="宋体" w:cs="Times New Roman"/>
                <w:lang w:val="en-US" w:eastAsia="zh-CN"/>
              </w:rPr>
            </w:pPr>
            <w:r>
              <w:rPr>
                <w:rFonts w:hint="eastAsia" w:ascii="宋体" w:hAnsi="宋体" w:eastAsia="宋体" w:cs="Times New Roman"/>
                <w:lang w:val="en-US" w:eastAsia="zh-CN"/>
              </w:rPr>
              <w:t xml:space="preserve">通过运用多个数据化管理系统，形成产、供、销科学之规划和管理，并可以完全根据客户之不同要求 设计、生产和安装，以此满足客户需要。 </w:t>
            </w:r>
          </w:p>
          <w:p>
            <w:pPr>
              <w:pStyle w:val="3"/>
              <w:keepNext w:val="0"/>
              <w:keepLines w:val="0"/>
              <w:pageBreakBefore w:val="0"/>
              <w:widowControl w:val="0"/>
              <w:kinsoku/>
              <w:wordWrap/>
              <w:overflowPunct/>
              <w:topLinePunct w:val="0"/>
              <w:autoSpaceDE/>
              <w:autoSpaceDN/>
              <w:bidi w:val="0"/>
              <w:spacing w:before="157" w:beforeLines="5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一、工艺流程：</w:t>
            </w:r>
          </w:p>
          <w:p>
            <w:pPr>
              <w:pStyle w:val="3"/>
              <w:rPr>
                <w:rFonts w:hint="eastAsia"/>
                <w:lang w:val="en-US" w:eastAsia="zh-CN"/>
              </w:rPr>
            </w:pPr>
            <w:r>
              <w:rPr>
                <w:rFonts w:hint="eastAsia" w:eastAsia="宋体"/>
                <w:color w:val="000000"/>
                <w:lang w:eastAsia="zh-CN"/>
              </w:rPr>
              <w:drawing>
                <wp:inline distT="0" distB="0" distL="114300" distR="114300">
                  <wp:extent cx="6203950" cy="1312545"/>
                  <wp:effectExtent l="0" t="0" r="6350" b="8255"/>
                  <wp:docPr id="6" name="图片 1" descr="1629340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629340567(1)"/>
                          <pic:cNvPicPr>
                            <a:picLocks noChangeAspect="1"/>
                          </pic:cNvPicPr>
                        </pic:nvPicPr>
                        <pic:blipFill>
                          <a:blip r:embed="rId6"/>
                          <a:stretch>
                            <a:fillRect/>
                          </a:stretch>
                        </pic:blipFill>
                        <pic:spPr>
                          <a:xfrm>
                            <a:off x="0" y="0"/>
                            <a:ext cx="6203950" cy="1312545"/>
                          </a:xfrm>
                          <a:prstGeom prst="rect">
                            <a:avLst/>
                          </a:prstGeom>
                          <a:noFill/>
                          <a:ln>
                            <a:noFill/>
                          </a:ln>
                        </pic:spPr>
                      </pic:pic>
                    </a:graphicData>
                  </a:graphic>
                </wp:inline>
              </w:drawing>
            </w:r>
          </w:p>
          <w:p>
            <w:pPr>
              <w:pStyle w:val="3"/>
              <w:rPr>
                <w:rFonts w:hint="eastAsia"/>
                <w:lang w:val="en-US" w:eastAsia="zh-CN"/>
              </w:rPr>
            </w:pPr>
          </w:p>
          <w:p>
            <w:pPr>
              <w:keepNext w:val="0"/>
              <w:keepLines w:val="0"/>
              <w:pageBreakBefore w:val="0"/>
              <w:widowControl w:val="0"/>
              <w:numPr>
                <w:ilvl w:val="0"/>
                <w:numId w:val="3"/>
              </w:numPr>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Times New Roman"/>
                <w:szCs w:val="22"/>
                <w:lang w:val="en-US" w:eastAsia="zh-CN"/>
              </w:rPr>
            </w:pPr>
            <w:r>
              <w:rPr>
                <w:rFonts w:hint="eastAsia" w:ascii="宋体" w:hAnsi="宋体" w:eastAsia="宋体" w:cs="Times New Roman"/>
                <w:szCs w:val="22"/>
                <w:lang w:val="en-US" w:eastAsia="zh-CN"/>
              </w:rPr>
              <w:t>生产控制情况：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Times New Roman"/>
                <w:szCs w:val="22"/>
                <w:lang w:val="en-US" w:eastAsia="zh-CN"/>
              </w:rPr>
            </w:pPr>
            <w:r>
              <w:rPr>
                <w:rFonts w:hint="eastAsia" w:ascii="宋体" w:hAnsi="宋体" w:eastAsia="宋体" w:cs="Times New Roman"/>
                <w:szCs w:val="22"/>
                <w:lang w:val="en-US" w:eastAsia="zh-CN"/>
              </w:rPr>
              <w:t>抽查：2021年</w:t>
            </w:r>
            <w:r>
              <w:rPr>
                <w:rFonts w:hint="eastAsia" w:ascii="宋体" w:hAnsi="宋体" w:cs="Times New Roman"/>
                <w:szCs w:val="22"/>
                <w:lang w:val="en-US" w:eastAsia="zh-CN"/>
              </w:rPr>
              <w:t>1-6</w:t>
            </w:r>
            <w:r>
              <w:rPr>
                <w:rFonts w:hint="eastAsia" w:ascii="宋体" w:hAnsi="宋体" w:eastAsia="宋体" w:cs="Times New Roman"/>
                <w:szCs w:val="22"/>
                <w:lang w:val="en-US" w:eastAsia="zh-CN"/>
              </w:rPr>
              <w:t>月份生产统计表（</w:t>
            </w:r>
            <w:r>
              <w:rPr>
                <w:rFonts w:hint="eastAsia" w:ascii="宋体" w:hAnsi="宋体" w:cs="Times New Roman"/>
                <w:szCs w:val="22"/>
                <w:lang w:val="en-US" w:eastAsia="zh-CN"/>
              </w:rPr>
              <w:t>月</w:t>
            </w:r>
            <w:r>
              <w:rPr>
                <w:rFonts w:hint="eastAsia" w:ascii="宋体" w:hAnsi="宋体" w:eastAsia="宋体" w:cs="Times New Roman"/>
                <w:szCs w:val="22"/>
                <w:lang w:val="en-US" w:eastAsia="zh-CN"/>
              </w:rPr>
              <w:t>报表）和202</w:t>
            </w:r>
            <w:r>
              <w:rPr>
                <w:rFonts w:hint="eastAsia" w:ascii="宋体" w:hAnsi="宋体" w:cs="Times New Roman"/>
                <w:szCs w:val="22"/>
                <w:lang w:val="en-US" w:eastAsia="zh-CN"/>
              </w:rPr>
              <w:t>0</w:t>
            </w:r>
            <w:r>
              <w:rPr>
                <w:rFonts w:hint="eastAsia" w:ascii="宋体" w:hAnsi="宋体" w:eastAsia="宋体" w:cs="Times New Roman"/>
                <w:szCs w:val="22"/>
                <w:lang w:val="en-US" w:eastAsia="zh-CN"/>
              </w:rPr>
              <w:t>年</w:t>
            </w:r>
            <w:r>
              <w:rPr>
                <w:rFonts w:hint="eastAsia" w:ascii="宋体" w:hAnsi="宋体" w:cs="Times New Roman"/>
                <w:szCs w:val="22"/>
                <w:lang w:val="en-US" w:eastAsia="zh-CN"/>
              </w:rPr>
              <w:t>1-6</w:t>
            </w:r>
            <w:r>
              <w:rPr>
                <w:rFonts w:hint="eastAsia" w:ascii="宋体" w:hAnsi="宋体" w:eastAsia="宋体" w:cs="Times New Roman"/>
                <w:szCs w:val="22"/>
                <w:lang w:val="en-US" w:eastAsia="zh-CN"/>
              </w:rPr>
              <w:t>月份生产统计表（</w:t>
            </w:r>
            <w:r>
              <w:rPr>
                <w:rFonts w:hint="eastAsia" w:ascii="宋体" w:hAnsi="宋体" w:cs="Times New Roman"/>
                <w:szCs w:val="22"/>
                <w:lang w:val="en-US" w:eastAsia="zh-CN"/>
              </w:rPr>
              <w:t>月</w:t>
            </w:r>
            <w:r>
              <w:rPr>
                <w:rFonts w:hint="eastAsia" w:ascii="宋体" w:hAnsi="宋体" w:eastAsia="宋体" w:cs="Times New Roman"/>
                <w:szCs w:val="22"/>
                <w:lang w:val="en-US" w:eastAsia="zh-CN"/>
              </w:rPr>
              <w:t>报表）分析</w:t>
            </w:r>
            <w:r>
              <w:rPr>
                <w:rFonts w:hint="eastAsia" w:ascii="宋体" w:hAnsi="宋体" w:cs="Times New Roman"/>
                <w:szCs w:val="22"/>
                <w:lang w:val="en-US" w:eastAsia="zh-CN"/>
              </w:rPr>
              <w:t>1-6能耗</w:t>
            </w:r>
            <w:r>
              <w:rPr>
                <w:rFonts w:hint="eastAsia" w:ascii="宋体" w:hAnsi="宋体" w:eastAsia="宋体" w:cs="Times New Roman"/>
                <w:szCs w:val="22"/>
                <w:lang w:val="en-US" w:eastAsia="zh-CN"/>
              </w:rPr>
              <w:t>耗与产品的消耗等数据，对能源消耗进行控制</w:t>
            </w:r>
          </w:p>
          <w:p>
            <w:pPr>
              <w:pStyle w:val="3"/>
            </w:pPr>
            <w:r>
              <w:drawing>
                <wp:inline distT="0" distB="0" distL="114300" distR="114300">
                  <wp:extent cx="6713220" cy="167640"/>
                  <wp:effectExtent l="0" t="0" r="5080"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6713220" cy="167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Times New Roman"/>
                <w:szCs w:val="22"/>
                <w:lang w:val="en-US" w:eastAsia="zh-CN"/>
              </w:rPr>
            </w:pPr>
            <w:r>
              <w:rPr>
                <w:rFonts w:hint="eastAsia" w:ascii="宋体" w:hAnsi="宋体" w:eastAsia="宋体" w:cs="Times New Roman"/>
                <w:szCs w:val="22"/>
                <w:lang w:val="en-US" w:eastAsia="zh-CN"/>
              </w:rPr>
              <w:t>三、设备管理</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Times New Roman"/>
                <w:color w:val="0000FF"/>
                <w:szCs w:val="22"/>
                <w:highlight w:val="none"/>
                <w:lang w:val="en-US" w:eastAsia="zh-CN"/>
              </w:rPr>
            </w:pPr>
            <w:r>
              <w:rPr>
                <w:rFonts w:hint="eastAsia" w:ascii="宋体" w:hAnsi="宋体" w:eastAsia="宋体" w:cs="Times New Roman"/>
                <w:szCs w:val="22"/>
                <w:lang w:val="en-US" w:eastAsia="zh-CN"/>
              </w:rPr>
              <w:t>提供：设备制度及生产设备台账，编制了</w:t>
            </w:r>
            <w:r>
              <w:rPr>
                <w:rFonts w:hint="eastAsia" w:ascii="宋体" w:hAnsi="宋体" w:eastAsia="宋体" w:cs="Times New Roman"/>
                <w:color w:val="0000FF"/>
                <w:szCs w:val="22"/>
                <w:highlight w:val="none"/>
                <w:lang w:val="en-US" w:eastAsia="zh-CN"/>
              </w:rPr>
              <w:t>设备管理制度和生产设备台账，记录生产设备</w:t>
            </w:r>
            <w:r>
              <w:rPr>
                <w:rFonts w:hint="eastAsia" w:ascii="宋体" w:hAnsi="宋体" w:cs="Times New Roman"/>
                <w:color w:val="0000FF"/>
                <w:szCs w:val="22"/>
                <w:highlight w:val="none"/>
                <w:lang w:val="en-US" w:eastAsia="zh-CN"/>
              </w:rPr>
              <w:t>112</w:t>
            </w:r>
            <w:r>
              <w:rPr>
                <w:rFonts w:hint="eastAsia" w:ascii="宋体" w:hAnsi="宋体" w:eastAsia="宋体" w:cs="Times New Roman"/>
                <w:color w:val="0000FF"/>
                <w:szCs w:val="22"/>
                <w:highlight w:val="none"/>
                <w:lang w:val="en-US" w:eastAsia="zh-CN"/>
              </w:rPr>
              <w:t>台，但未对主要耗能设备进行识别，也未对主要耗能设备的能耗情况进行测试。——</w:t>
            </w:r>
            <w:r>
              <w:rPr>
                <w:rFonts w:hint="eastAsia" w:ascii="宋体" w:hAnsi="宋体" w:cs="Times New Roman"/>
                <w:color w:val="0000FF"/>
                <w:szCs w:val="22"/>
                <w:highlight w:val="none"/>
                <w:lang w:val="en-US" w:eastAsia="zh-CN"/>
              </w:rPr>
              <w:t>问题项</w:t>
            </w:r>
          </w:p>
          <w:p>
            <w:pPr>
              <w:pStyle w:val="3"/>
              <w:rPr>
                <w:rFonts w:hint="eastAsia" w:ascii="宋体" w:hAnsi="宋体" w:eastAsia="宋体" w:cs="Times New Roman"/>
                <w:szCs w:val="22"/>
                <w:lang w:val="en-US" w:eastAsia="zh-CN"/>
              </w:rPr>
            </w:pPr>
            <w:r>
              <w:drawing>
                <wp:inline distT="0" distB="0" distL="114300" distR="114300">
                  <wp:extent cx="5753100" cy="5215890"/>
                  <wp:effectExtent l="0" t="0" r="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753100" cy="5215890"/>
                          </a:xfrm>
                          <a:prstGeom prst="rect">
                            <a:avLst/>
                          </a:prstGeom>
                          <a:noFill/>
                          <a:ln>
                            <a:noFill/>
                          </a:ln>
                        </pic:spPr>
                      </pic:pic>
                    </a:graphicData>
                  </a:graphic>
                </wp:inline>
              </w:drawing>
            </w:r>
          </w:p>
          <w:p>
            <w:pPr>
              <w:pStyle w:val="3"/>
              <w:rPr>
                <w:rFonts w:hint="eastAsia" w:ascii="宋体" w:hAnsi="宋体" w:eastAsia="宋体" w:cs="Times New Roman"/>
                <w:szCs w:val="22"/>
                <w:lang w:val="en-US" w:eastAsia="zh-CN"/>
              </w:rPr>
            </w:pPr>
            <w:r>
              <w:drawing>
                <wp:inline distT="0" distB="0" distL="114300" distR="114300">
                  <wp:extent cx="5758180" cy="5250180"/>
                  <wp:effectExtent l="0" t="0" r="7620"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5758180" cy="5250180"/>
                          </a:xfrm>
                          <a:prstGeom prst="rect">
                            <a:avLst/>
                          </a:prstGeom>
                          <a:noFill/>
                          <a:ln>
                            <a:noFill/>
                          </a:ln>
                        </pic:spPr>
                      </pic:pic>
                    </a:graphicData>
                  </a:graphic>
                </wp:inline>
              </w:drawing>
            </w:r>
          </w:p>
          <w:p>
            <w:pPr>
              <w:pStyle w:val="3"/>
              <w:rPr>
                <w:rFonts w:hint="eastAsia" w:ascii="宋体" w:hAnsi="宋体" w:eastAsia="宋体" w:cs="Times New Roman"/>
                <w:szCs w:val="22"/>
                <w:lang w:val="en-US" w:eastAsia="zh-CN"/>
              </w:rPr>
            </w:pPr>
            <w:r>
              <w:drawing>
                <wp:inline distT="0" distB="0" distL="114300" distR="114300">
                  <wp:extent cx="5755005" cy="5215890"/>
                  <wp:effectExtent l="0" t="0" r="10795" b="38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5755005" cy="5215890"/>
                          </a:xfrm>
                          <a:prstGeom prst="rect">
                            <a:avLst/>
                          </a:prstGeom>
                          <a:noFill/>
                          <a:ln>
                            <a:noFill/>
                          </a:ln>
                        </pic:spPr>
                      </pic:pic>
                    </a:graphicData>
                  </a:graphic>
                </wp:inline>
              </w:drawing>
            </w:r>
          </w:p>
          <w:p>
            <w:pPr>
              <w:pStyle w:val="3"/>
              <w:rPr>
                <w:rFonts w:hint="eastAsia" w:ascii="宋体" w:hAnsi="宋体" w:eastAsia="宋体" w:cs="Times New Roman"/>
                <w:szCs w:val="22"/>
                <w:lang w:val="en-US" w:eastAsia="zh-CN"/>
              </w:rPr>
            </w:pPr>
            <w:r>
              <w:drawing>
                <wp:inline distT="0" distB="0" distL="114300" distR="114300">
                  <wp:extent cx="5757545" cy="5237480"/>
                  <wp:effectExtent l="0" t="0" r="8255" b="762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5757545" cy="5237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ind w:leftChars="0"/>
              <w:jc w:val="left"/>
              <w:textAlignment w:val="auto"/>
              <w:rPr>
                <w:rFonts w:hint="eastAsia" w:ascii="宋体" w:hAnsi="宋体" w:eastAsia="宋体" w:cs="Times New Roman"/>
                <w:szCs w:val="22"/>
                <w:lang w:val="en-US" w:eastAsia="zh-CN"/>
              </w:rPr>
            </w:pPr>
            <w:r>
              <w:rPr>
                <w:rFonts w:hint="eastAsia" w:ascii="宋体" w:hAnsi="宋体" w:cs="Times New Roman"/>
                <w:szCs w:val="22"/>
                <w:lang w:val="en-US" w:eastAsia="zh-CN"/>
              </w:rPr>
              <w:t>四、</w:t>
            </w:r>
            <w:r>
              <w:rPr>
                <w:rFonts w:hint="eastAsia" w:ascii="宋体" w:hAnsi="宋体" w:eastAsia="宋体" w:cs="Times New Roman"/>
                <w:szCs w:val="22"/>
                <w:lang w:val="en-US" w:eastAsia="zh-CN"/>
              </w:rPr>
              <w:t>能源计量管理：</w:t>
            </w:r>
          </w:p>
          <w:p>
            <w:pPr>
              <w:pStyle w:val="3"/>
              <w:numPr>
                <w:ilvl w:val="0"/>
                <w:numId w:val="0"/>
              </w:numPr>
              <w:ind w:leftChars="0"/>
            </w:pPr>
            <w:r>
              <w:rPr>
                <w:rFonts w:hint="eastAsia" w:ascii="宋体" w:hAnsi="宋体" w:eastAsia="宋体" w:cs="Times New Roman"/>
                <w:kern w:val="2"/>
                <w:sz w:val="21"/>
                <w:szCs w:val="22"/>
                <w:lang w:val="en-US" w:eastAsia="zh-CN" w:bidi="ar-SA"/>
              </w:rPr>
              <w:t>提供：C类测量设备管理台账（电表）、C类测量设备管理台账（水表）见下图</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0"/>
              <w:textAlignment w:val="auto"/>
              <w:rPr>
                <w:rFonts w:hint="eastAsia" w:ascii="宋体" w:hAnsi="宋体" w:eastAsia="宋体" w:cs="Times New Roman"/>
                <w:color w:val="0000FF"/>
                <w:kern w:val="2"/>
                <w:sz w:val="21"/>
                <w:szCs w:val="22"/>
                <w:lang w:val="en-US" w:eastAsia="zh-CN" w:bidi="ar-SA"/>
              </w:rPr>
            </w:pPr>
            <w:r>
              <w:rPr>
                <w:rFonts w:hint="eastAsia" w:ascii="宋体" w:hAnsi="宋体" w:eastAsia="宋体" w:cs="Times New Roman"/>
                <w:color w:val="0000FF"/>
                <w:kern w:val="2"/>
                <w:sz w:val="21"/>
                <w:szCs w:val="22"/>
                <w:lang w:val="en-US" w:eastAsia="zh-CN" w:bidi="ar-SA"/>
              </w:rPr>
              <w:t>未对电表和水表的确认周期进行描述。——问题项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0"/>
              <w:textAlignment w:val="auto"/>
              <w:rPr>
                <w:rFonts w:hint="eastAsia" w:ascii="宋体" w:hAnsi="宋体" w:eastAsia="宋体" w:cs="Times New Roman"/>
                <w:color w:val="auto"/>
                <w:kern w:val="2"/>
                <w:sz w:val="21"/>
                <w:szCs w:val="22"/>
                <w:lang w:val="en-US" w:eastAsia="zh-CN" w:bidi="ar-SA"/>
              </w:rPr>
            </w:pPr>
            <w:r>
              <w:rPr>
                <w:rFonts w:hint="eastAsia" w:ascii="宋体" w:hAnsi="宋体" w:eastAsia="宋体" w:cs="Times New Roman"/>
                <w:color w:val="auto"/>
                <w:kern w:val="2"/>
                <w:sz w:val="21"/>
                <w:szCs w:val="22"/>
                <w:lang w:val="en-US" w:eastAsia="zh-CN" w:bidi="ar-SA"/>
              </w:rPr>
              <w:t>提供计量器具配备表，符合要求</w:t>
            </w:r>
          </w:p>
          <w:tbl>
            <w:tblPr>
              <w:tblStyle w:val="10"/>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493"/>
              <w:gridCol w:w="1274"/>
              <w:gridCol w:w="1241"/>
              <w:gridCol w:w="1193"/>
              <w:gridCol w:w="1333"/>
              <w:gridCol w:w="969"/>
              <w:gridCol w:w="1234"/>
              <w:gridCol w:w="1377"/>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tcPr>
                <w:p>
                  <w:pPr>
                    <w:rPr>
                      <w:rFonts w:ascii="宋体" w:hAnsi="宋体"/>
                    </w:rPr>
                  </w:pPr>
                </w:p>
              </w:tc>
              <w:tc>
                <w:tcPr>
                  <w:tcW w:w="236" w:type="pct"/>
                </w:tcPr>
                <w:p>
                  <w:pPr>
                    <w:rPr>
                      <w:rFonts w:ascii="宋体" w:hAnsi="宋体"/>
                      <w:sz w:val="18"/>
                      <w:szCs w:val="18"/>
                    </w:rPr>
                  </w:pPr>
                  <w:r>
                    <w:rPr>
                      <w:rFonts w:hint="eastAsia" w:ascii="宋体" w:hAnsi="宋体"/>
                      <w:sz w:val="18"/>
                      <w:szCs w:val="18"/>
                    </w:rPr>
                    <w:t>序号</w:t>
                  </w:r>
                </w:p>
              </w:tc>
              <w:tc>
                <w:tcPr>
                  <w:tcW w:w="609" w:type="pct"/>
                </w:tcPr>
                <w:p>
                  <w:pPr>
                    <w:rPr>
                      <w:rFonts w:ascii="宋体" w:hAnsi="宋体"/>
                      <w:sz w:val="18"/>
                      <w:szCs w:val="18"/>
                    </w:rPr>
                  </w:pPr>
                  <w:r>
                    <w:rPr>
                      <w:rFonts w:hint="eastAsia" w:ascii="宋体" w:hAnsi="宋体"/>
                      <w:sz w:val="18"/>
                      <w:szCs w:val="18"/>
                    </w:rPr>
                    <w:t>能源种类</w:t>
                  </w:r>
                </w:p>
              </w:tc>
              <w:tc>
                <w:tcPr>
                  <w:tcW w:w="594" w:type="pct"/>
                </w:tcPr>
                <w:p>
                  <w:pPr>
                    <w:rPr>
                      <w:rFonts w:ascii="宋体" w:hAnsi="宋体"/>
                      <w:sz w:val="18"/>
                      <w:szCs w:val="18"/>
                    </w:rPr>
                  </w:pPr>
                  <w:r>
                    <w:rPr>
                      <w:rFonts w:hint="eastAsia" w:ascii="宋体" w:hAnsi="宋体"/>
                      <w:sz w:val="18"/>
                      <w:szCs w:val="18"/>
                    </w:rPr>
                    <w:t>应配数量（台/套）</w:t>
                  </w:r>
                </w:p>
              </w:tc>
              <w:tc>
                <w:tcPr>
                  <w:tcW w:w="571" w:type="pct"/>
                </w:tcPr>
                <w:p>
                  <w:pPr>
                    <w:rPr>
                      <w:rFonts w:ascii="宋体" w:hAnsi="宋体"/>
                      <w:sz w:val="18"/>
                      <w:szCs w:val="18"/>
                    </w:rPr>
                  </w:pPr>
                  <w:r>
                    <w:rPr>
                      <w:rFonts w:hint="eastAsia" w:ascii="宋体" w:hAnsi="宋体"/>
                      <w:sz w:val="18"/>
                      <w:szCs w:val="18"/>
                    </w:rPr>
                    <w:t>实配数量（台/套）</w:t>
                  </w:r>
                </w:p>
              </w:tc>
              <w:tc>
                <w:tcPr>
                  <w:tcW w:w="638" w:type="pct"/>
                </w:tcPr>
                <w:p>
                  <w:pPr>
                    <w:rPr>
                      <w:rFonts w:ascii="宋体" w:hAnsi="宋体"/>
                      <w:sz w:val="18"/>
                      <w:szCs w:val="18"/>
                    </w:rPr>
                  </w:pPr>
                  <w:r>
                    <w:rPr>
                      <w:rFonts w:hint="eastAsia" w:ascii="宋体" w:hAnsi="宋体"/>
                      <w:sz w:val="18"/>
                      <w:szCs w:val="18"/>
                    </w:rPr>
                    <w:t>国家要求配备率（%）</w:t>
                  </w:r>
                </w:p>
              </w:tc>
              <w:tc>
                <w:tcPr>
                  <w:tcW w:w="463" w:type="pct"/>
                </w:tcPr>
                <w:p>
                  <w:pPr>
                    <w:rPr>
                      <w:rFonts w:ascii="宋体" w:hAnsi="宋体"/>
                      <w:sz w:val="18"/>
                      <w:szCs w:val="18"/>
                    </w:rPr>
                  </w:pPr>
                  <w:r>
                    <w:rPr>
                      <w:rFonts w:hint="eastAsia" w:ascii="宋体" w:hAnsi="宋体"/>
                      <w:sz w:val="18"/>
                      <w:szCs w:val="18"/>
                    </w:rPr>
                    <w:t>实际配备率（%）</w:t>
                  </w:r>
                </w:p>
              </w:tc>
              <w:tc>
                <w:tcPr>
                  <w:tcW w:w="590" w:type="pct"/>
                </w:tcPr>
                <w:p>
                  <w:pPr>
                    <w:rPr>
                      <w:rFonts w:ascii="宋体" w:hAnsi="宋体"/>
                      <w:sz w:val="18"/>
                      <w:szCs w:val="18"/>
                    </w:rPr>
                  </w:pPr>
                  <w:r>
                    <w:rPr>
                      <w:rFonts w:hint="eastAsia" w:ascii="宋体" w:hAnsi="宋体"/>
                      <w:sz w:val="18"/>
                      <w:szCs w:val="18"/>
                    </w:rPr>
                    <w:t>准确度等级要求</w:t>
                  </w:r>
                </w:p>
              </w:tc>
              <w:tc>
                <w:tcPr>
                  <w:tcW w:w="659" w:type="pct"/>
                </w:tcPr>
                <w:p>
                  <w:pPr>
                    <w:rPr>
                      <w:rFonts w:ascii="宋体" w:hAnsi="宋体"/>
                      <w:sz w:val="18"/>
                      <w:szCs w:val="18"/>
                    </w:rPr>
                  </w:pPr>
                  <w:r>
                    <w:rPr>
                      <w:rFonts w:hint="eastAsia" w:ascii="宋体" w:hAnsi="宋体"/>
                      <w:sz w:val="18"/>
                      <w:szCs w:val="18"/>
                    </w:rPr>
                    <w:t>实际配备的精度等级</w:t>
                  </w:r>
                </w:p>
              </w:tc>
              <w:tc>
                <w:tcPr>
                  <w:tcW w:w="401" w:type="pct"/>
                </w:tcPr>
                <w:p>
                  <w:pPr>
                    <w:rPr>
                      <w:rFonts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restart"/>
                </w:tcPr>
                <w:p>
                  <w:pPr>
                    <w:rPr>
                      <w:rFonts w:hint="eastAsia" w:ascii="宋体" w:hAnsi="宋体" w:eastAsia="宋体"/>
                      <w:sz w:val="18"/>
                      <w:szCs w:val="18"/>
                      <w:lang w:val="en-US" w:eastAsia="zh-CN"/>
                    </w:rPr>
                  </w:pPr>
                  <w:r>
                    <w:rPr>
                      <w:rFonts w:hint="eastAsia" w:ascii="宋体" w:hAnsi="宋体"/>
                      <w:sz w:val="18"/>
                      <w:szCs w:val="18"/>
                      <w:lang w:val="en-US" w:eastAsia="zh-CN"/>
                    </w:rPr>
                    <w:t>一级</w:t>
                  </w:r>
                </w:p>
              </w:tc>
              <w:tc>
                <w:tcPr>
                  <w:tcW w:w="236" w:type="pct"/>
                </w:tcPr>
                <w:p>
                  <w:pPr>
                    <w:rPr>
                      <w:rFonts w:ascii="宋体" w:hAnsi="宋体"/>
                      <w:sz w:val="18"/>
                      <w:szCs w:val="18"/>
                    </w:rPr>
                  </w:pPr>
                  <w:r>
                    <w:rPr>
                      <w:rFonts w:hint="eastAsia" w:ascii="宋体" w:hAnsi="宋体"/>
                      <w:sz w:val="18"/>
                      <w:szCs w:val="18"/>
                    </w:rPr>
                    <w:t>2</w:t>
                  </w:r>
                </w:p>
              </w:tc>
              <w:tc>
                <w:tcPr>
                  <w:tcW w:w="609" w:type="pct"/>
                </w:tcPr>
                <w:p>
                  <w:pPr>
                    <w:rPr>
                      <w:rFonts w:ascii="宋体" w:hAnsi="宋体"/>
                      <w:sz w:val="18"/>
                      <w:szCs w:val="18"/>
                    </w:rPr>
                  </w:pPr>
                  <w:r>
                    <w:rPr>
                      <w:rFonts w:hint="eastAsia" w:ascii="宋体" w:hAnsi="宋体"/>
                      <w:sz w:val="18"/>
                      <w:szCs w:val="18"/>
                    </w:rPr>
                    <w:t>水</w:t>
                  </w:r>
                </w:p>
              </w:tc>
              <w:tc>
                <w:tcPr>
                  <w:tcW w:w="594" w:type="pct"/>
                </w:tcPr>
                <w:p>
                  <w:pPr>
                    <w:jc w:val="center"/>
                    <w:rPr>
                      <w:rFonts w:ascii="宋体" w:hAnsi="宋体"/>
                      <w:sz w:val="18"/>
                      <w:szCs w:val="18"/>
                    </w:rPr>
                  </w:pPr>
                  <w:r>
                    <w:rPr>
                      <w:rFonts w:hint="eastAsia" w:ascii="宋体" w:hAnsi="宋体"/>
                      <w:sz w:val="18"/>
                      <w:szCs w:val="18"/>
                    </w:rPr>
                    <w:t>1</w:t>
                  </w:r>
                </w:p>
              </w:tc>
              <w:tc>
                <w:tcPr>
                  <w:tcW w:w="571" w:type="pct"/>
                </w:tcPr>
                <w:p>
                  <w:pPr>
                    <w:jc w:val="center"/>
                    <w:rPr>
                      <w:rFonts w:ascii="宋体" w:hAnsi="宋体"/>
                      <w:sz w:val="18"/>
                      <w:szCs w:val="18"/>
                    </w:rPr>
                  </w:pPr>
                  <w:r>
                    <w:rPr>
                      <w:rFonts w:ascii="宋体" w:hAnsi="宋体"/>
                      <w:sz w:val="18"/>
                      <w:szCs w:val="18"/>
                    </w:rPr>
                    <w:t>1</w:t>
                  </w:r>
                </w:p>
              </w:tc>
              <w:tc>
                <w:tcPr>
                  <w:tcW w:w="638" w:type="pct"/>
                </w:tcPr>
                <w:p>
                  <w:pPr>
                    <w:jc w:val="center"/>
                    <w:rPr>
                      <w:sz w:val="18"/>
                      <w:szCs w:val="18"/>
                    </w:rPr>
                  </w:pPr>
                  <w:r>
                    <w:rPr>
                      <w:rFonts w:hint="eastAsia" w:ascii="宋体" w:hAnsi="宋体"/>
                      <w:sz w:val="18"/>
                      <w:szCs w:val="18"/>
                    </w:rPr>
                    <w:t>100</w:t>
                  </w:r>
                </w:p>
              </w:tc>
              <w:tc>
                <w:tcPr>
                  <w:tcW w:w="463" w:type="pct"/>
                </w:tcPr>
                <w:p>
                  <w:pPr>
                    <w:jc w:val="center"/>
                    <w:rPr>
                      <w:sz w:val="18"/>
                      <w:szCs w:val="18"/>
                    </w:rPr>
                  </w:pPr>
                  <w:r>
                    <w:rPr>
                      <w:rFonts w:hint="eastAsia" w:ascii="宋体" w:hAnsi="宋体"/>
                      <w:sz w:val="18"/>
                      <w:szCs w:val="18"/>
                    </w:rPr>
                    <w:t>100</w:t>
                  </w:r>
                </w:p>
              </w:tc>
              <w:tc>
                <w:tcPr>
                  <w:tcW w:w="590" w:type="pct"/>
                </w:tcPr>
                <w:p>
                  <w:pPr>
                    <w:jc w:val="center"/>
                    <w:rPr>
                      <w:rFonts w:ascii="宋体" w:hAnsi="宋体"/>
                      <w:sz w:val="18"/>
                      <w:szCs w:val="18"/>
                    </w:rPr>
                  </w:pPr>
                  <w:r>
                    <w:rPr>
                      <w:rFonts w:hint="eastAsia" w:ascii="宋体" w:hAnsi="宋体"/>
                      <w:sz w:val="18"/>
                      <w:szCs w:val="18"/>
                    </w:rPr>
                    <w:t>2.5</w:t>
                  </w:r>
                </w:p>
              </w:tc>
              <w:tc>
                <w:tcPr>
                  <w:tcW w:w="659" w:type="pct"/>
                </w:tcPr>
                <w:p>
                  <w:pPr>
                    <w:jc w:val="center"/>
                    <w:rPr>
                      <w:rFonts w:ascii="宋体" w:hAnsi="宋体"/>
                      <w:sz w:val="18"/>
                      <w:szCs w:val="18"/>
                    </w:rPr>
                  </w:pPr>
                  <w:r>
                    <w:rPr>
                      <w:rFonts w:hint="eastAsia" w:ascii="宋体" w:hAnsi="宋体"/>
                      <w:sz w:val="18"/>
                      <w:szCs w:val="18"/>
                    </w:rPr>
                    <w:t>2.5</w:t>
                  </w:r>
                </w:p>
              </w:tc>
              <w:tc>
                <w:tcPr>
                  <w:tcW w:w="401" w:type="pct"/>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Pr>
                <w:p>
                  <w:pPr>
                    <w:rPr>
                      <w:rFonts w:ascii="宋体" w:hAnsi="宋体"/>
                      <w:sz w:val="18"/>
                      <w:szCs w:val="18"/>
                    </w:rPr>
                  </w:pPr>
                </w:p>
              </w:tc>
              <w:tc>
                <w:tcPr>
                  <w:tcW w:w="236" w:type="pct"/>
                </w:tcPr>
                <w:p>
                  <w:pPr>
                    <w:rPr>
                      <w:rFonts w:ascii="宋体" w:hAnsi="宋体"/>
                      <w:sz w:val="18"/>
                      <w:szCs w:val="18"/>
                    </w:rPr>
                  </w:pPr>
                  <w:r>
                    <w:rPr>
                      <w:rFonts w:hint="eastAsia" w:ascii="宋体" w:hAnsi="宋体"/>
                      <w:sz w:val="18"/>
                      <w:szCs w:val="18"/>
                    </w:rPr>
                    <w:t>7</w:t>
                  </w:r>
                </w:p>
              </w:tc>
              <w:tc>
                <w:tcPr>
                  <w:tcW w:w="609" w:type="pct"/>
                </w:tcPr>
                <w:p>
                  <w:pPr>
                    <w:rPr>
                      <w:rFonts w:ascii="宋体" w:hAnsi="宋体"/>
                      <w:sz w:val="18"/>
                      <w:szCs w:val="18"/>
                    </w:rPr>
                  </w:pPr>
                  <w:r>
                    <w:rPr>
                      <w:rFonts w:hint="eastAsia" w:ascii="宋体" w:hAnsi="宋体"/>
                      <w:sz w:val="18"/>
                      <w:szCs w:val="18"/>
                    </w:rPr>
                    <w:t>电</w:t>
                  </w:r>
                </w:p>
              </w:tc>
              <w:tc>
                <w:tcPr>
                  <w:tcW w:w="594" w:type="pct"/>
                </w:tcPr>
                <w:p>
                  <w:pPr>
                    <w:jc w:val="center"/>
                    <w:rPr>
                      <w:rFonts w:hint="eastAsia" w:ascii="宋体" w:hAnsi="宋体" w:eastAsia="宋体"/>
                      <w:sz w:val="18"/>
                      <w:szCs w:val="18"/>
                      <w:lang w:eastAsia="zh-CN"/>
                    </w:rPr>
                  </w:pPr>
                  <w:r>
                    <w:rPr>
                      <w:rFonts w:hint="eastAsia" w:ascii="宋体" w:hAnsi="宋体"/>
                      <w:sz w:val="18"/>
                      <w:szCs w:val="18"/>
                      <w:lang w:val="en-US" w:eastAsia="zh-CN"/>
                    </w:rPr>
                    <w:t>1</w:t>
                  </w:r>
                </w:p>
              </w:tc>
              <w:tc>
                <w:tcPr>
                  <w:tcW w:w="571" w:type="pct"/>
                </w:tcPr>
                <w:p>
                  <w:pPr>
                    <w:jc w:val="center"/>
                    <w:rPr>
                      <w:rFonts w:hint="eastAsia" w:ascii="宋体" w:hAnsi="宋体" w:eastAsia="宋体"/>
                      <w:sz w:val="18"/>
                      <w:szCs w:val="18"/>
                      <w:lang w:eastAsia="zh-CN"/>
                    </w:rPr>
                  </w:pPr>
                  <w:r>
                    <w:rPr>
                      <w:rFonts w:hint="eastAsia" w:ascii="宋体" w:hAnsi="宋体"/>
                      <w:sz w:val="18"/>
                      <w:szCs w:val="18"/>
                      <w:lang w:val="en-US" w:eastAsia="zh-CN"/>
                    </w:rPr>
                    <w:t>1</w:t>
                  </w:r>
                </w:p>
              </w:tc>
              <w:tc>
                <w:tcPr>
                  <w:tcW w:w="638" w:type="pct"/>
                </w:tcPr>
                <w:p>
                  <w:pPr>
                    <w:jc w:val="center"/>
                    <w:rPr>
                      <w:sz w:val="18"/>
                      <w:szCs w:val="18"/>
                    </w:rPr>
                  </w:pPr>
                  <w:r>
                    <w:rPr>
                      <w:rFonts w:hint="eastAsia" w:ascii="宋体" w:hAnsi="宋体"/>
                      <w:sz w:val="18"/>
                      <w:szCs w:val="18"/>
                    </w:rPr>
                    <w:t>100</w:t>
                  </w:r>
                </w:p>
              </w:tc>
              <w:tc>
                <w:tcPr>
                  <w:tcW w:w="463" w:type="pct"/>
                </w:tcPr>
                <w:p>
                  <w:pPr>
                    <w:jc w:val="center"/>
                    <w:rPr>
                      <w:sz w:val="18"/>
                      <w:szCs w:val="18"/>
                    </w:rPr>
                  </w:pPr>
                  <w:r>
                    <w:rPr>
                      <w:rFonts w:hint="eastAsia" w:ascii="宋体" w:hAnsi="宋体"/>
                      <w:sz w:val="18"/>
                      <w:szCs w:val="18"/>
                    </w:rPr>
                    <w:t>100</w:t>
                  </w:r>
                </w:p>
              </w:tc>
              <w:tc>
                <w:tcPr>
                  <w:tcW w:w="590" w:type="pct"/>
                </w:tcPr>
                <w:p>
                  <w:pPr>
                    <w:jc w:val="center"/>
                    <w:rPr>
                      <w:rFonts w:ascii="宋体" w:hAnsi="宋体"/>
                      <w:sz w:val="18"/>
                      <w:szCs w:val="18"/>
                    </w:rPr>
                  </w:pPr>
                  <w:r>
                    <w:rPr>
                      <w:rFonts w:hint="eastAsia" w:ascii="宋体" w:hAnsi="宋体"/>
                      <w:sz w:val="18"/>
                      <w:szCs w:val="18"/>
                    </w:rPr>
                    <w:t>1.0</w:t>
                  </w:r>
                </w:p>
              </w:tc>
              <w:tc>
                <w:tcPr>
                  <w:tcW w:w="659" w:type="pct"/>
                </w:tcPr>
                <w:p>
                  <w:pPr>
                    <w:jc w:val="center"/>
                    <w:rPr>
                      <w:rFonts w:ascii="宋体" w:hAnsi="宋体"/>
                      <w:sz w:val="18"/>
                      <w:szCs w:val="18"/>
                    </w:rPr>
                  </w:pPr>
                  <w:r>
                    <w:rPr>
                      <w:rFonts w:ascii="宋体" w:hAnsi="宋体"/>
                      <w:sz w:val="18"/>
                      <w:szCs w:val="18"/>
                    </w:rPr>
                    <w:t>1.0</w:t>
                  </w:r>
                </w:p>
              </w:tc>
              <w:tc>
                <w:tcPr>
                  <w:tcW w:w="401" w:type="pct"/>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restart"/>
                </w:tcPr>
                <w:p>
                  <w:pPr>
                    <w:rPr>
                      <w:rFonts w:ascii="宋体" w:hAnsi="宋体"/>
                      <w:sz w:val="18"/>
                      <w:szCs w:val="18"/>
                    </w:rPr>
                  </w:pPr>
                  <w:r>
                    <w:rPr>
                      <w:rFonts w:hint="eastAsia" w:ascii="宋体" w:hAnsi="宋体"/>
                      <w:sz w:val="18"/>
                      <w:szCs w:val="18"/>
                    </w:rPr>
                    <w:t>二级</w:t>
                  </w:r>
                </w:p>
              </w:tc>
              <w:tc>
                <w:tcPr>
                  <w:tcW w:w="236" w:type="pct"/>
                </w:tcPr>
                <w:p>
                  <w:pPr>
                    <w:rPr>
                      <w:rFonts w:ascii="宋体" w:hAnsi="宋体"/>
                      <w:sz w:val="18"/>
                      <w:szCs w:val="18"/>
                    </w:rPr>
                  </w:pPr>
                  <w:r>
                    <w:rPr>
                      <w:rFonts w:hint="eastAsia" w:ascii="宋体" w:hAnsi="宋体"/>
                      <w:sz w:val="18"/>
                      <w:szCs w:val="18"/>
                    </w:rPr>
                    <w:t>2</w:t>
                  </w:r>
                </w:p>
              </w:tc>
              <w:tc>
                <w:tcPr>
                  <w:tcW w:w="609" w:type="pct"/>
                </w:tcPr>
                <w:p>
                  <w:pPr>
                    <w:rPr>
                      <w:rFonts w:ascii="宋体" w:hAnsi="宋体"/>
                      <w:sz w:val="18"/>
                      <w:szCs w:val="18"/>
                    </w:rPr>
                  </w:pPr>
                  <w:r>
                    <w:rPr>
                      <w:rFonts w:hint="eastAsia" w:ascii="宋体" w:hAnsi="宋体"/>
                      <w:sz w:val="18"/>
                      <w:szCs w:val="18"/>
                    </w:rPr>
                    <w:t>水</w:t>
                  </w:r>
                </w:p>
              </w:tc>
              <w:tc>
                <w:tcPr>
                  <w:tcW w:w="594" w:type="pct"/>
                </w:tcPr>
                <w:p>
                  <w:pPr>
                    <w:jc w:val="center"/>
                    <w:rPr>
                      <w:rFonts w:ascii="宋体" w:hAnsi="宋体"/>
                      <w:sz w:val="18"/>
                      <w:szCs w:val="18"/>
                    </w:rPr>
                  </w:pPr>
                  <w:r>
                    <w:rPr>
                      <w:rFonts w:ascii="宋体" w:hAnsi="宋体"/>
                      <w:sz w:val="18"/>
                      <w:szCs w:val="18"/>
                    </w:rPr>
                    <w:t>-</w:t>
                  </w:r>
                </w:p>
              </w:tc>
              <w:tc>
                <w:tcPr>
                  <w:tcW w:w="571" w:type="pct"/>
                </w:tcPr>
                <w:p>
                  <w:pPr>
                    <w:jc w:val="center"/>
                    <w:rPr>
                      <w:rFonts w:ascii="宋体" w:hAnsi="宋体"/>
                      <w:sz w:val="18"/>
                      <w:szCs w:val="18"/>
                    </w:rPr>
                  </w:pPr>
                  <w:r>
                    <w:rPr>
                      <w:rFonts w:ascii="宋体" w:hAnsi="宋体"/>
                      <w:sz w:val="18"/>
                      <w:szCs w:val="18"/>
                    </w:rPr>
                    <w:t>-</w:t>
                  </w:r>
                </w:p>
              </w:tc>
              <w:tc>
                <w:tcPr>
                  <w:tcW w:w="638" w:type="pct"/>
                </w:tcPr>
                <w:p>
                  <w:pPr>
                    <w:jc w:val="center"/>
                    <w:rPr>
                      <w:rFonts w:ascii="宋体" w:hAnsi="宋体"/>
                      <w:sz w:val="18"/>
                      <w:szCs w:val="18"/>
                    </w:rPr>
                  </w:pPr>
                  <w:r>
                    <w:rPr>
                      <w:rFonts w:ascii="宋体" w:hAnsi="宋体"/>
                      <w:sz w:val="18"/>
                      <w:szCs w:val="18"/>
                    </w:rPr>
                    <w:t>-</w:t>
                  </w:r>
                </w:p>
              </w:tc>
              <w:tc>
                <w:tcPr>
                  <w:tcW w:w="463" w:type="pct"/>
                </w:tcPr>
                <w:p>
                  <w:pPr>
                    <w:jc w:val="center"/>
                    <w:rPr>
                      <w:rFonts w:ascii="宋体" w:hAnsi="宋体"/>
                      <w:sz w:val="18"/>
                      <w:szCs w:val="18"/>
                    </w:rPr>
                  </w:pPr>
                  <w:r>
                    <w:rPr>
                      <w:rFonts w:ascii="宋体" w:hAnsi="宋体"/>
                      <w:sz w:val="18"/>
                      <w:szCs w:val="18"/>
                    </w:rPr>
                    <w:t>-</w:t>
                  </w:r>
                </w:p>
              </w:tc>
              <w:tc>
                <w:tcPr>
                  <w:tcW w:w="590" w:type="pct"/>
                </w:tcPr>
                <w:p>
                  <w:pPr>
                    <w:jc w:val="center"/>
                    <w:rPr>
                      <w:rFonts w:ascii="宋体" w:hAnsi="宋体"/>
                      <w:sz w:val="18"/>
                      <w:szCs w:val="18"/>
                    </w:rPr>
                  </w:pPr>
                  <w:r>
                    <w:rPr>
                      <w:rFonts w:ascii="宋体" w:hAnsi="宋体"/>
                      <w:sz w:val="18"/>
                      <w:szCs w:val="18"/>
                    </w:rPr>
                    <w:t>-</w:t>
                  </w:r>
                </w:p>
              </w:tc>
              <w:tc>
                <w:tcPr>
                  <w:tcW w:w="659" w:type="pct"/>
                </w:tcPr>
                <w:p>
                  <w:pPr>
                    <w:jc w:val="center"/>
                    <w:rPr>
                      <w:rFonts w:ascii="宋体" w:hAnsi="宋体"/>
                      <w:sz w:val="18"/>
                      <w:szCs w:val="18"/>
                    </w:rPr>
                  </w:pPr>
                  <w:r>
                    <w:rPr>
                      <w:rFonts w:ascii="宋体" w:hAnsi="宋体"/>
                      <w:sz w:val="18"/>
                      <w:szCs w:val="18"/>
                    </w:rPr>
                    <w:t>-</w:t>
                  </w:r>
                </w:p>
              </w:tc>
              <w:tc>
                <w:tcPr>
                  <w:tcW w:w="401" w:type="pct"/>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Pr>
                <w:p>
                  <w:pPr>
                    <w:rPr>
                      <w:rFonts w:ascii="宋体" w:hAnsi="宋体"/>
                      <w:sz w:val="18"/>
                      <w:szCs w:val="18"/>
                    </w:rPr>
                  </w:pPr>
                </w:p>
              </w:tc>
              <w:tc>
                <w:tcPr>
                  <w:tcW w:w="236" w:type="pct"/>
                </w:tcPr>
                <w:p>
                  <w:pPr>
                    <w:rPr>
                      <w:rFonts w:ascii="宋体" w:hAnsi="宋体"/>
                      <w:sz w:val="18"/>
                      <w:szCs w:val="18"/>
                    </w:rPr>
                  </w:pPr>
                  <w:r>
                    <w:rPr>
                      <w:rFonts w:hint="eastAsia" w:ascii="宋体" w:hAnsi="宋体"/>
                      <w:sz w:val="18"/>
                      <w:szCs w:val="18"/>
                    </w:rPr>
                    <w:t>7</w:t>
                  </w:r>
                </w:p>
              </w:tc>
              <w:tc>
                <w:tcPr>
                  <w:tcW w:w="609" w:type="pct"/>
                </w:tcPr>
                <w:p>
                  <w:pPr>
                    <w:rPr>
                      <w:rFonts w:ascii="宋体" w:hAnsi="宋体"/>
                      <w:sz w:val="18"/>
                      <w:szCs w:val="18"/>
                    </w:rPr>
                  </w:pPr>
                  <w:r>
                    <w:rPr>
                      <w:rFonts w:hint="eastAsia" w:ascii="宋体" w:hAnsi="宋体"/>
                      <w:sz w:val="18"/>
                      <w:szCs w:val="18"/>
                    </w:rPr>
                    <w:t>电</w:t>
                  </w:r>
                </w:p>
              </w:tc>
              <w:tc>
                <w:tcPr>
                  <w:tcW w:w="594" w:type="pct"/>
                </w:tcPr>
                <w:p>
                  <w:pPr>
                    <w:jc w:val="center"/>
                    <w:rPr>
                      <w:rFonts w:hint="eastAsia" w:ascii="宋体" w:hAnsi="宋体" w:eastAsia="宋体"/>
                      <w:sz w:val="18"/>
                      <w:szCs w:val="18"/>
                      <w:lang w:eastAsia="zh-CN"/>
                    </w:rPr>
                  </w:pPr>
                  <w:r>
                    <w:rPr>
                      <w:rFonts w:hint="eastAsia" w:ascii="宋体" w:hAnsi="宋体"/>
                      <w:sz w:val="18"/>
                      <w:szCs w:val="18"/>
                      <w:lang w:val="en-US" w:eastAsia="zh-CN"/>
                    </w:rPr>
                    <w:t>4</w:t>
                  </w:r>
                </w:p>
              </w:tc>
              <w:tc>
                <w:tcPr>
                  <w:tcW w:w="571" w:type="pct"/>
                </w:tcPr>
                <w:p>
                  <w:pPr>
                    <w:jc w:val="center"/>
                    <w:rPr>
                      <w:rFonts w:hint="eastAsia" w:ascii="宋体" w:hAnsi="宋体" w:eastAsia="宋体"/>
                      <w:sz w:val="18"/>
                      <w:szCs w:val="18"/>
                      <w:lang w:eastAsia="zh-CN"/>
                    </w:rPr>
                  </w:pPr>
                  <w:r>
                    <w:rPr>
                      <w:rFonts w:hint="eastAsia" w:ascii="宋体" w:hAnsi="宋体"/>
                      <w:sz w:val="18"/>
                      <w:szCs w:val="18"/>
                      <w:lang w:val="en-US" w:eastAsia="zh-CN"/>
                    </w:rPr>
                    <w:t>4</w:t>
                  </w:r>
                </w:p>
              </w:tc>
              <w:tc>
                <w:tcPr>
                  <w:tcW w:w="1333" w:type="dxa"/>
                  <w:vAlign w:val="top"/>
                </w:tcPr>
                <w:p>
                  <w:pPr>
                    <w:jc w:val="center"/>
                    <w:rPr>
                      <w:rFonts w:ascii="宋体" w:hAnsi="宋体"/>
                      <w:sz w:val="18"/>
                      <w:szCs w:val="18"/>
                    </w:rPr>
                  </w:pPr>
                  <w:r>
                    <w:rPr>
                      <w:rFonts w:hint="eastAsia" w:ascii="宋体" w:hAnsi="宋体"/>
                      <w:sz w:val="18"/>
                      <w:szCs w:val="18"/>
                    </w:rPr>
                    <w:t>100</w:t>
                  </w:r>
                </w:p>
              </w:tc>
              <w:tc>
                <w:tcPr>
                  <w:tcW w:w="969" w:type="dxa"/>
                  <w:vAlign w:val="top"/>
                </w:tcPr>
                <w:p>
                  <w:pPr>
                    <w:jc w:val="center"/>
                    <w:rPr>
                      <w:rFonts w:ascii="宋体" w:hAnsi="宋体"/>
                      <w:sz w:val="18"/>
                      <w:szCs w:val="18"/>
                    </w:rPr>
                  </w:pPr>
                  <w:r>
                    <w:rPr>
                      <w:rFonts w:hint="eastAsia" w:ascii="宋体" w:hAnsi="宋体"/>
                      <w:sz w:val="18"/>
                      <w:szCs w:val="18"/>
                    </w:rPr>
                    <w:t>100</w:t>
                  </w:r>
                </w:p>
              </w:tc>
              <w:tc>
                <w:tcPr>
                  <w:tcW w:w="1234" w:type="dxa"/>
                  <w:vAlign w:val="top"/>
                </w:tcPr>
                <w:p>
                  <w:pPr>
                    <w:jc w:val="center"/>
                    <w:rPr>
                      <w:rFonts w:ascii="宋体" w:hAnsi="宋体"/>
                      <w:sz w:val="18"/>
                      <w:szCs w:val="18"/>
                    </w:rPr>
                  </w:pPr>
                  <w:r>
                    <w:rPr>
                      <w:rFonts w:hint="eastAsia" w:ascii="宋体" w:hAnsi="宋体"/>
                      <w:sz w:val="18"/>
                      <w:szCs w:val="18"/>
                    </w:rPr>
                    <w:t>1.0</w:t>
                  </w:r>
                </w:p>
              </w:tc>
              <w:tc>
                <w:tcPr>
                  <w:tcW w:w="1377" w:type="dxa"/>
                  <w:vAlign w:val="top"/>
                </w:tcPr>
                <w:p>
                  <w:pPr>
                    <w:jc w:val="center"/>
                    <w:rPr>
                      <w:rFonts w:ascii="宋体" w:hAnsi="宋体"/>
                      <w:sz w:val="18"/>
                      <w:szCs w:val="18"/>
                    </w:rPr>
                  </w:pPr>
                  <w:r>
                    <w:rPr>
                      <w:rFonts w:ascii="宋体" w:hAnsi="宋体"/>
                      <w:sz w:val="18"/>
                      <w:szCs w:val="18"/>
                    </w:rPr>
                    <w:t>1.0</w:t>
                  </w:r>
                </w:p>
              </w:tc>
              <w:tc>
                <w:tcPr>
                  <w:tcW w:w="401" w:type="pct"/>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restart"/>
                </w:tcPr>
                <w:p>
                  <w:pPr>
                    <w:rPr>
                      <w:rFonts w:ascii="宋体" w:hAnsi="宋体"/>
                      <w:sz w:val="18"/>
                      <w:szCs w:val="18"/>
                    </w:rPr>
                  </w:pPr>
                  <w:r>
                    <w:rPr>
                      <w:rFonts w:hint="eastAsia" w:ascii="宋体" w:hAnsi="宋体"/>
                      <w:sz w:val="18"/>
                      <w:szCs w:val="18"/>
                    </w:rPr>
                    <w:t>三级</w:t>
                  </w:r>
                </w:p>
              </w:tc>
              <w:tc>
                <w:tcPr>
                  <w:tcW w:w="236" w:type="pct"/>
                </w:tcPr>
                <w:p>
                  <w:pPr>
                    <w:rPr>
                      <w:rFonts w:ascii="宋体" w:hAnsi="宋体"/>
                      <w:sz w:val="18"/>
                      <w:szCs w:val="18"/>
                    </w:rPr>
                  </w:pPr>
                  <w:r>
                    <w:rPr>
                      <w:rFonts w:hint="eastAsia" w:ascii="宋体" w:hAnsi="宋体"/>
                      <w:sz w:val="18"/>
                      <w:szCs w:val="18"/>
                    </w:rPr>
                    <w:t>1</w:t>
                  </w:r>
                </w:p>
              </w:tc>
              <w:tc>
                <w:tcPr>
                  <w:tcW w:w="609" w:type="pct"/>
                </w:tcPr>
                <w:p>
                  <w:pPr>
                    <w:rPr>
                      <w:rFonts w:ascii="宋体" w:hAnsi="宋体"/>
                      <w:sz w:val="18"/>
                      <w:szCs w:val="18"/>
                    </w:rPr>
                  </w:pPr>
                  <w:r>
                    <w:rPr>
                      <w:rFonts w:hint="eastAsia" w:ascii="宋体" w:hAnsi="宋体"/>
                      <w:sz w:val="18"/>
                      <w:szCs w:val="18"/>
                    </w:rPr>
                    <w:t>水</w:t>
                  </w:r>
                </w:p>
              </w:tc>
              <w:tc>
                <w:tcPr>
                  <w:tcW w:w="594" w:type="pct"/>
                </w:tcPr>
                <w:p>
                  <w:pPr>
                    <w:jc w:val="center"/>
                    <w:rPr>
                      <w:rFonts w:ascii="宋体" w:hAnsi="宋体"/>
                      <w:sz w:val="18"/>
                      <w:szCs w:val="18"/>
                    </w:rPr>
                  </w:pPr>
                  <w:r>
                    <w:rPr>
                      <w:rFonts w:ascii="宋体" w:hAnsi="宋体"/>
                      <w:sz w:val="18"/>
                      <w:szCs w:val="18"/>
                    </w:rPr>
                    <w:t>-</w:t>
                  </w:r>
                </w:p>
              </w:tc>
              <w:tc>
                <w:tcPr>
                  <w:tcW w:w="571" w:type="pct"/>
                </w:tcPr>
                <w:p>
                  <w:pPr>
                    <w:jc w:val="center"/>
                    <w:rPr>
                      <w:rFonts w:ascii="宋体" w:hAnsi="宋体"/>
                      <w:sz w:val="18"/>
                      <w:szCs w:val="18"/>
                    </w:rPr>
                  </w:pPr>
                  <w:r>
                    <w:rPr>
                      <w:rFonts w:ascii="宋体" w:hAnsi="宋体"/>
                      <w:sz w:val="18"/>
                      <w:szCs w:val="18"/>
                    </w:rPr>
                    <w:t>-</w:t>
                  </w:r>
                </w:p>
              </w:tc>
              <w:tc>
                <w:tcPr>
                  <w:tcW w:w="638" w:type="pct"/>
                </w:tcPr>
                <w:p>
                  <w:pPr>
                    <w:jc w:val="center"/>
                    <w:rPr>
                      <w:rFonts w:ascii="宋体" w:hAnsi="宋体"/>
                      <w:sz w:val="18"/>
                      <w:szCs w:val="18"/>
                    </w:rPr>
                  </w:pPr>
                  <w:r>
                    <w:rPr>
                      <w:rFonts w:ascii="宋体" w:hAnsi="宋体"/>
                      <w:sz w:val="18"/>
                      <w:szCs w:val="18"/>
                    </w:rPr>
                    <w:t>-</w:t>
                  </w:r>
                </w:p>
              </w:tc>
              <w:tc>
                <w:tcPr>
                  <w:tcW w:w="463" w:type="pct"/>
                </w:tcPr>
                <w:p>
                  <w:pPr>
                    <w:jc w:val="center"/>
                    <w:rPr>
                      <w:rFonts w:ascii="宋体" w:hAnsi="宋体"/>
                      <w:sz w:val="18"/>
                      <w:szCs w:val="18"/>
                    </w:rPr>
                  </w:pPr>
                  <w:r>
                    <w:rPr>
                      <w:rFonts w:ascii="宋体" w:hAnsi="宋体"/>
                      <w:sz w:val="18"/>
                      <w:szCs w:val="18"/>
                    </w:rPr>
                    <w:t>-</w:t>
                  </w:r>
                </w:p>
              </w:tc>
              <w:tc>
                <w:tcPr>
                  <w:tcW w:w="590" w:type="pct"/>
                </w:tcPr>
                <w:p>
                  <w:pPr>
                    <w:jc w:val="center"/>
                    <w:rPr>
                      <w:rFonts w:ascii="宋体" w:hAnsi="宋体"/>
                      <w:sz w:val="18"/>
                      <w:szCs w:val="18"/>
                    </w:rPr>
                  </w:pPr>
                  <w:r>
                    <w:rPr>
                      <w:rFonts w:ascii="宋体" w:hAnsi="宋体"/>
                      <w:sz w:val="18"/>
                      <w:szCs w:val="18"/>
                    </w:rPr>
                    <w:t>-</w:t>
                  </w:r>
                </w:p>
              </w:tc>
              <w:tc>
                <w:tcPr>
                  <w:tcW w:w="659" w:type="pct"/>
                </w:tcPr>
                <w:p>
                  <w:pPr>
                    <w:jc w:val="center"/>
                    <w:rPr>
                      <w:rFonts w:ascii="宋体" w:hAnsi="宋体"/>
                      <w:sz w:val="18"/>
                      <w:szCs w:val="18"/>
                    </w:rPr>
                  </w:pPr>
                  <w:r>
                    <w:rPr>
                      <w:rFonts w:ascii="宋体" w:hAnsi="宋体"/>
                      <w:sz w:val="18"/>
                      <w:szCs w:val="18"/>
                    </w:rPr>
                    <w:t>-</w:t>
                  </w:r>
                </w:p>
              </w:tc>
              <w:tc>
                <w:tcPr>
                  <w:tcW w:w="401" w:type="pct"/>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Pr>
                <w:p>
                  <w:pPr>
                    <w:rPr>
                      <w:rFonts w:ascii="宋体" w:hAnsi="宋体"/>
                    </w:rPr>
                  </w:pPr>
                </w:p>
              </w:tc>
              <w:tc>
                <w:tcPr>
                  <w:tcW w:w="236" w:type="pct"/>
                </w:tcPr>
                <w:p>
                  <w:pPr>
                    <w:rPr>
                      <w:rFonts w:ascii="宋体" w:hAnsi="宋体"/>
                      <w:sz w:val="18"/>
                      <w:szCs w:val="18"/>
                    </w:rPr>
                  </w:pPr>
                  <w:r>
                    <w:rPr>
                      <w:rFonts w:hint="eastAsia" w:ascii="宋体" w:hAnsi="宋体"/>
                      <w:sz w:val="18"/>
                      <w:szCs w:val="18"/>
                    </w:rPr>
                    <w:t>2</w:t>
                  </w:r>
                </w:p>
              </w:tc>
              <w:tc>
                <w:tcPr>
                  <w:tcW w:w="609" w:type="pct"/>
                </w:tcPr>
                <w:p>
                  <w:pPr>
                    <w:rPr>
                      <w:rFonts w:ascii="宋体" w:hAnsi="宋体"/>
                      <w:sz w:val="18"/>
                      <w:szCs w:val="18"/>
                    </w:rPr>
                  </w:pPr>
                  <w:r>
                    <w:rPr>
                      <w:rFonts w:hint="eastAsia" w:ascii="宋体" w:hAnsi="宋体"/>
                      <w:sz w:val="18"/>
                      <w:szCs w:val="18"/>
                    </w:rPr>
                    <w:t>电</w:t>
                  </w:r>
                </w:p>
              </w:tc>
              <w:tc>
                <w:tcPr>
                  <w:tcW w:w="594" w:type="pct"/>
                </w:tcPr>
                <w:p>
                  <w:pPr>
                    <w:jc w:val="center"/>
                    <w:rPr>
                      <w:rFonts w:hint="eastAsia" w:ascii="宋体" w:hAnsi="宋体" w:eastAsia="宋体"/>
                      <w:sz w:val="18"/>
                      <w:szCs w:val="18"/>
                      <w:lang w:eastAsia="zh-CN"/>
                    </w:rPr>
                  </w:pPr>
                </w:p>
              </w:tc>
              <w:tc>
                <w:tcPr>
                  <w:tcW w:w="571" w:type="pct"/>
                </w:tcPr>
                <w:p>
                  <w:pPr>
                    <w:jc w:val="center"/>
                    <w:rPr>
                      <w:rFonts w:ascii="宋体" w:hAnsi="宋体"/>
                      <w:sz w:val="18"/>
                      <w:szCs w:val="18"/>
                    </w:rPr>
                  </w:pPr>
                </w:p>
              </w:tc>
              <w:tc>
                <w:tcPr>
                  <w:tcW w:w="638" w:type="pct"/>
                </w:tcPr>
                <w:p>
                  <w:pPr>
                    <w:jc w:val="center"/>
                    <w:rPr>
                      <w:rFonts w:ascii="宋体" w:hAnsi="宋体"/>
                      <w:sz w:val="18"/>
                      <w:szCs w:val="18"/>
                    </w:rPr>
                  </w:pPr>
                </w:p>
              </w:tc>
              <w:tc>
                <w:tcPr>
                  <w:tcW w:w="463" w:type="pct"/>
                </w:tcPr>
                <w:p>
                  <w:pPr>
                    <w:jc w:val="center"/>
                    <w:rPr>
                      <w:rFonts w:ascii="宋体" w:hAnsi="宋体"/>
                      <w:sz w:val="18"/>
                      <w:szCs w:val="18"/>
                    </w:rPr>
                  </w:pPr>
                </w:p>
              </w:tc>
              <w:tc>
                <w:tcPr>
                  <w:tcW w:w="590" w:type="pct"/>
                </w:tcPr>
                <w:p>
                  <w:pPr>
                    <w:jc w:val="center"/>
                    <w:rPr>
                      <w:rFonts w:ascii="宋体" w:hAnsi="宋体"/>
                      <w:sz w:val="18"/>
                      <w:szCs w:val="18"/>
                    </w:rPr>
                  </w:pPr>
                </w:p>
              </w:tc>
              <w:tc>
                <w:tcPr>
                  <w:tcW w:w="659" w:type="pct"/>
                </w:tcPr>
                <w:p>
                  <w:pPr>
                    <w:jc w:val="center"/>
                    <w:rPr>
                      <w:rFonts w:ascii="宋体" w:hAnsi="宋体"/>
                      <w:sz w:val="18"/>
                      <w:szCs w:val="18"/>
                    </w:rPr>
                  </w:pPr>
                </w:p>
              </w:tc>
              <w:tc>
                <w:tcPr>
                  <w:tcW w:w="401" w:type="pct"/>
                </w:tcPr>
                <w:p>
                  <w:pPr>
                    <w:rPr>
                      <w:rFonts w:ascii="宋体" w:hAnsi="宋体"/>
                      <w:sz w:val="18"/>
                      <w:szCs w:val="18"/>
                    </w:rPr>
                  </w:pP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0"/>
              <w:textAlignment w:val="auto"/>
              <w:rPr>
                <w:rFonts w:hint="default" w:ascii="宋体" w:hAnsi="宋体" w:eastAsia="宋体" w:cs="Times New Roman"/>
                <w:color w:val="0000FF"/>
                <w:kern w:val="2"/>
                <w:sz w:val="21"/>
                <w:szCs w:val="22"/>
                <w:lang w:val="en-US" w:eastAsia="zh-CN" w:bidi="ar-SA"/>
              </w:rPr>
            </w:pPr>
            <w:r>
              <w:rPr>
                <w:rFonts w:hint="eastAsia" w:ascii="宋体" w:hAnsi="宋体" w:eastAsia="宋体" w:cs="Times New Roman"/>
                <w:color w:val="0000FF"/>
                <w:kern w:val="2"/>
                <w:sz w:val="21"/>
                <w:szCs w:val="22"/>
                <w:lang w:val="en-US" w:eastAsia="zh-CN" w:bidi="ar-SA"/>
              </w:rPr>
              <w:t>主要能耗设备未配备电流表--问题项</w:t>
            </w:r>
          </w:p>
          <w:p>
            <w:pPr>
              <w:rPr>
                <w:rFonts w:hint="eastAsia"/>
                <w:lang w:val="en-US" w:eastAsia="zh-CN"/>
              </w:rPr>
            </w:pPr>
          </w:p>
          <w:p>
            <w:pPr>
              <w:pStyle w:val="5"/>
              <w:spacing w:before="0" w:after="0" w:line="400" w:lineRule="exact"/>
              <w:rPr>
                <w:rFonts w:hint="eastAsia" w:ascii="宋体" w:hAnsi="宋体" w:eastAsia="宋体" w:cs="Times New Roman"/>
                <w:b w:val="0"/>
                <w:bCs w:val="0"/>
                <w:kern w:val="2"/>
                <w:sz w:val="21"/>
                <w:szCs w:val="22"/>
                <w:lang w:val="en-US" w:eastAsia="zh-CN" w:bidi="ar-SA"/>
              </w:rPr>
            </w:pPr>
            <w:r>
              <w:rPr>
                <w:rFonts w:hint="eastAsia" w:ascii="宋体" w:hAnsi="宋体" w:eastAsia="宋体" w:cs="Times New Roman"/>
                <w:b w:val="0"/>
                <w:bCs w:val="0"/>
                <w:kern w:val="2"/>
                <w:sz w:val="21"/>
                <w:szCs w:val="22"/>
                <w:lang w:val="en-US" w:eastAsia="zh-CN" w:bidi="ar-SA"/>
              </w:rPr>
              <w:t>五、淘汰能耗落后工艺、设备概况</w:t>
            </w:r>
          </w:p>
          <w:p>
            <w:pPr>
              <w:pStyle w:val="3"/>
              <w:numPr>
                <w:ilvl w:val="0"/>
                <w:numId w:val="0"/>
              </w:numPr>
              <w:ind w:leftChars="0"/>
              <w:rPr>
                <w:rFonts w:hint="default" w:ascii="宋体" w:hAnsi="宋体" w:eastAsia="宋体" w:cs="Times New Roman"/>
                <w:b w:val="0"/>
                <w:bCs w:val="0"/>
                <w:kern w:val="2"/>
                <w:sz w:val="21"/>
                <w:szCs w:val="22"/>
                <w:lang w:val="en-US" w:eastAsia="zh-CN" w:bidi="ar-SA"/>
              </w:rPr>
            </w:pPr>
            <w:r>
              <w:rPr>
                <w:rFonts w:hint="eastAsia" w:ascii="宋体" w:hAnsi="宋体" w:eastAsia="宋体" w:cs="Times New Roman"/>
                <w:b w:val="0"/>
                <w:bCs w:val="0"/>
                <w:kern w:val="2"/>
                <w:sz w:val="21"/>
                <w:szCs w:val="22"/>
                <w:lang w:val="en-US" w:eastAsia="zh-CN" w:bidi="ar-SA"/>
              </w:rPr>
              <w:t>按照国家政策法规文件识别</w:t>
            </w:r>
            <w:r>
              <w:rPr>
                <w:rFonts w:hint="eastAsia" w:ascii="宋体" w:hAnsi="宋体" w:cs="Times New Roman"/>
                <w:b w:val="0"/>
                <w:bCs w:val="0"/>
                <w:kern w:val="2"/>
                <w:sz w:val="21"/>
                <w:szCs w:val="22"/>
                <w:lang w:val="en-US" w:eastAsia="zh-CN" w:bidi="ar-SA"/>
              </w:rPr>
              <w:t>怡达快速电梯有限公司</w:t>
            </w:r>
            <w:r>
              <w:rPr>
                <w:rFonts w:hint="eastAsia" w:ascii="宋体" w:hAnsi="宋体" w:eastAsia="宋体" w:cs="Times New Roman"/>
                <w:b w:val="0"/>
                <w:bCs w:val="0"/>
                <w:kern w:val="2"/>
                <w:sz w:val="21"/>
                <w:szCs w:val="22"/>
                <w:lang w:val="en-US" w:eastAsia="zh-CN" w:bidi="ar-SA"/>
              </w:rPr>
              <w:t>无相关能耗落后的工艺，</w:t>
            </w:r>
            <w:r>
              <w:rPr>
                <w:rFonts w:hint="eastAsia" w:ascii="宋体" w:hAnsi="宋体" w:cs="Times New Roman"/>
                <w:b w:val="0"/>
                <w:bCs w:val="0"/>
                <w:kern w:val="2"/>
                <w:sz w:val="21"/>
                <w:szCs w:val="22"/>
                <w:lang w:val="en-US" w:eastAsia="zh-CN" w:bidi="ar-SA"/>
              </w:rPr>
              <w:t>也无</w:t>
            </w:r>
            <w:r>
              <w:rPr>
                <w:rFonts w:hint="eastAsia" w:ascii="宋体" w:hAnsi="宋体" w:eastAsia="宋体" w:cs="Times New Roman"/>
                <w:b w:val="0"/>
                <w:bCs w:val="0"/>
                <w:kern w:val="2"/>
                <w:sz w:val="21"/>
                <w:szCs w:val="22"/>
                <w:lang w:val="en-US" w:eastAsia="zh-CN" w:bidi="ar-SA"/>
              </w:rPr>
              <w:t>淘汰落后设备。</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157" w:beforeLines="50" w:line="240" w:lineRule="auto"/>
              <w:ind w:leftChars="0"/>
              <w:jc w:val="left"/>
              <w:textAlignment w:val="auto"/>
              <w:rPr>
                <w:rFonts w:hint="eastAsia" w:ascii="宋体" w:hAnsi="宋体" w:eastAsia="宋体" w:cs="Times New Roman"/>
                <w:szCs w:val="22"/>
                <w:lang w:val="en-US" w:eastAsia="zh-CN"/>
              </w:rPr>
            </w:pPr>
            <w:r>
              <w:rPr>
                <w:rFonts w:hint="eastAsia" w:ascii="宋体" w:hAnsi="宋体" w:eastAsia="宋体" w:cs="Times New Roman"/>
                <w:szCs w:val="22"/>
                <w:lang w:val="en-US" w:eastAsia="zh-CN"/>
              </w:rPr>
              <w:t>能源绩效</w:t>
            </w:r>
          </w:p>
          <w:p>
            <w:pPr>
              <w:pStyle w:val="5"/>
              <w:spacing w:before="0" w:after="0" w:line="400" w:lineRule="exact"/>
              <w:rPr>
                <w:rFonts w:hint="eastAsia" w:ascii="宋体" w:hAnsi="宋体" w:eastAsia="宋体" w:cs="Times New Roman"/>
                <w:b w:val="0"/>
                <w:bCs w:val="0"/>
                <w:sz w:val="21"/>
                <w:szCs w:val="24"/>
                <w:lang w:val="en-US" w:eastAsia="zh-CN"/>
              </w:rPr>
            </w:pPr>
            <w:r>
              <w:rPr>
                <w:rFonts w:hint="eastAsia" w:ascii="宋体" w:hAnsi="宋体" w:eastAsia="宋体" w:cs="Times New Roman"/>
                <w:b w:val="0"/>
                <w:bCs w:val="0"/>
                <w:sz w:val="21"/>
                <w:szCs w:val="24"/>
                <w:lang w:val="en-US" w:eastAsia="zh-CN"/>
              </w:rPr>
              <w:t>能源限额管理：企业所处行业目前国家及地方未指定行管限额标准。</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157" w:beforeLines="50" w:line="240" w:lineRule="auto"/>
              <w:ind w:leftChars="0"/>
              <w:jc w:val="left"/>
              <w:textAlignment w:val="auto"/>
              <w:rPr>
                <w:rFonts w:hint="eastAsia" w:ascii="宋体" w:hAnsi="宋体" w:eastAsia="宋体" w:cs="Times New Roman"/>
                <w:szCs w:val="22"/>
                <w:lang w:val="en-US" w:eastAsia="zh-CN"/>
              </w:rPr>
            </w:pPr>
            <w:bookmarkStart w:id="0" w:name="_Toc488155114"/>
            <w:r>
              <w:rPr>
                <w:rFonts w:hint="eastAsia" w:ascii="宋体" w:hAnsi="宋体" w:eastAsia="宋体" w:cs="Times New Roman"/>
                <w:szCs w:val="22"/>
                <w:lang w:val="en-US" w:eastAsia="zh-CN"/>
              </w:rPr>
              <w:t>能源利用状况评审</w:t>
            </w:r>
            <w:bookmarkEnd w:id="0"/>
          </w:p>
          <w:p>
            <w:pPr>
              <w:pStyle w:val="5"/>
              <w:spacing w:before="0" w:after="0" w:line="400" w:lineRule="exact"/>
              <w:rPr>
                <w:rFonts w:ascii="黑体" w:hAnsi="黑体"/>
                <w:szCs w:val="21"/>
              </w:rPr>
            </w:pPr>
            <w:bookmarkStart w:id="1" w:name="_Toc488155115"/>
            <w:r>
              <w:rPr>
                <w:rFonts w:ascii="黑体" w:hAnsi="黑体"/>
                <w:b w:val="0"/>
                <w:bCs w:val="0"/>
                <w:sz w:val="21"/>
                <w:szCs w:val="21"/>
              </w:rPr>
              <w:t>能源消</w:t>
            </w:r>
            <w:r>
              <w:rPr>
                <w:rFonts w:hint="eastAsia" w:ascii="黑体" w:hAnsi="黑体"/>
                <w:b w:val="0"/>
                <w:bCs w:val="0"/>
                <w:sz w:val="21"/>
                <w:szCs w:val="21"/>
              </w:rPr>
              <w:t>耗结</w:t>
            </w:r>
            <w:r>
              <w:rPr>
                <w:rFonts w:ascii="黑体" w:hAnsi="黑体"/>
                <w:b w:val="0"/>
                <w:bCs w:val="0"/>
                <w:sz w:val="21"/>
                <w:szCs w:val="21"/>
              </w:rPr>
              <w:t>构</w:t>
            </w:r>
            <w:r>
              <w:rPr>
                <w:rFonts w:hint="eastAsia" w:ascii="黑体" w:hAnsi="黑体"/>
                <w:b w:val="0"/>
                <w:bCs w:val="0"/>
                <w:sz w:val="21"/>
                <w:szCs w:val="21"/>
              </w:rPr>
              <w:t>分析</w:t>
            </w:r>
            <w:bookmarkEnd w:id="1"/>
          </w:p>
          <w:p>
            <w:pPr>
              <w:spacing w:line="400" w:lineRule="exact"/>
              <w:ind w:firstLine="210" w:firstLineChars="100"/>
            </w:pPr>
            <w:r>
              <w:rPr>
                <w:rFonts w:hint="eastAsia"/>
                <w:lang w:val="en-US" w:eastAsia="zh-CN"/>
              </w:rPr>
              <w:t>2017、2018、2019年</w:t>
            </w:r>
            <w:r>
              <w:t>，企业主要消耗能源种类包括电力、</w:t>
            </w:r>
            <w:r>
              <w:rPr>
                <w:rFonts w:hint="eastAsia"/>
                <w:lang w:val="en-US" w:eastAsia="zh-CN"/>
              </w:rPr>
              <w:t>水、柴油</w:t>
            </w:r>
            <w:r>
              <w:t>。</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2017、2018、2019年能源消耗情况：</w:t>
            </w:r>
          </w:p>
          <w:p>
            <w:pPr>
              <w:pStyle w:val="2"/>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2017、2018、2019年综合能耗为：</w:t>
            </w:r>
            <w:r>
              <w:rPr>
                <w:rFonts w:hint="eastAsia" w:cs="Times New Roman"/>
                <w:kern w:val="2"/>
                <w:sz w:val="21"/>
                <w:lang w:val="en-US" w:eastAsia="zh-CN" w:bidi="ar-SA"/>
              </w:rPr>
              <w:t>235728.38</w:t>
            </w:r>
            <w:r>
              <w:rPr>
                <w:rFonts w:hint="eastAsia" w:ascii="Times New Roman" w:hAnsi="Times New Roman" w:eastAsia="宋体" w:cs="Times New Roman"/>
                <w:kern w:val="2"/>
                <w:sz w:val="21"/>
                <w:lang w:val="en-US" w:eastAsia="zh-CN" w:bidi="ar-SA"/>
              </w:rPr>
              <w:t>kgce</w:t>
            </w:r>
            <w:r>
              <w:rPr>
                <w:rFonts w:hint="eastAsia" w:cs="Times New Roman"/>
                <w:kern w:val="2"/>
                <w:sz w:val="21"/>
                <w:lang w:val="en-US" w:eastAsia="zh-CN" w:bidi="ar-SA"/>
              </w:rPr>
              <w:t>、252150.98kgce、287879.77kgce；</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2017、2018、2019年产量</w:t>
            </w:r>
            <w:r>
              <w:rPr>
                <w:rFonts w:hint="eastAsia" w:cs="Times New Roman"/>
                <w:kern w:val="2"/>
                <w:sz w:val="21"/>
                <w:lang w:val="en-US" w:eastAsia="zh-CN" w:bidi="ar-SA"/>
              </w:rPr>
              <w:t>分别</w:t>
            </w:r>
            <w:r>
              <w:rPr>
                <w:rFonts w:hint="eastAsia" w:ascii="Times New Roman" w:hAnsi="Times New Roman" w:eastAsia="宋体" w:cs="Times New Roman"/>
                <w:kern w:val="2"/>
                <w:sz w:val="21"/>
                <w:lang w:val="en-US" w:eastAsia="zh-CN" w:bidi="ar-SA"/>
              </w:rPr>
              <w:t>为：</w:t>
            </w:r>
            <w:r>
              <w:rPr>
                <w:rFonts w:hint="eastAsia" w:cs="Times New Roman"/>
                <w:kern w:val="2"/>
                <w:sz w:val="21"/>
                <w:lang w:val="en-US" w:eastAsia="zh-CN" w:bidi="ar-SA"/>
              </w:rPr>
              <w:t>5992台、6522台、7912台</w:t>
            </w:r>
            <w:r>
              <w:rPr>
                <w:rFonts w:hint="eastAsia" w:ascii="Times New Roman" w:hAnsi="Times New Roman" w:eastAsia="宋体" w:cs="Times New Roman"/>
                <w:kern w:val="2"/>
                <w:sz w:val="21"/>
                <w:lang w:val="en-US" w:eastAsia="zh-CN" w:bidi="ar-SA"/>
              </w:rPr>
              <w:t>，</w:t>
            </w:r>
          </w:p>
          <w:p>
            <w:pPr>
              <w:pStyle w:val="2"/>
              <w:rPr>
                <w:rFonts w:hint="default" w:cs="Times New Roman"/>
                <w:kern w:val="2"/>
                <w:sz w:val="21"/>
                <w:lang w:val="en-US" w:eastAsia="zh-CN" w:bidi="ar-SA"/>
              </w:rPr>
            </w:pPr>
            <w:r>
              <w:rPr>
                <w:rFonts w:hint="eastAsia" w:cs="Times New Roman"/>
                <w:kern w:val="2"/>
                <w:sz w:val="21"/>
                <w:lang w:val="en-US" w:eastAsia="zh-CN" w:bidi="ar-SA"/>
              </w:rPr>
              <w:t>2017、2018、2019年的单位产品能耗分别为：39.34.kgce/台、38.66kgce、36.39kgce。</w:t>
            </w:r>
          </w:p>
          <w:p>
            <w:pPr>
              <w:pStyle w:val="2"/>
              <w:rPr>
                <w:rFonts w:hint="default" w:cs="Times New Roman"/>
                <w:kern w:val="2"/>
                <w:sz w:val="21"/>
                <w:lang w:val="en-US" w:eastAsia="zh-CN" w:bidi="ar-SA"/>
              </w:rPr>
            </w:pPr>
            <w:r>
              <w:rPr>
                <w:rFonts w:hint="eastAsia" w:cs="Times New Roman"/>
                <w:kern w:val="2"/>
                <w:sz w:val="21"/>
                <w:lang w:val="en-US" w:eastAsia="zh-CN" w:bidi="ar-SA"/>
              </w:rPr>
              <w:t>三年平均单位产品能耗为：</w:t>
            </w:r>
            <w:r>
              <w:rPr>
                <w:rFonts w:hint="eastAsia" w:cs="Times New Roman"/>
                <w:kern w:val="2"/>
                <w:sz w:val="20"/>
                <w:szCs w:val="22"/>
                <w:lang w:val="en-US" w:eastAsia="zh-CN" w:bidi="ar-SA"/>
              </w:rPr>
              <w:t>38.13</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p>
          <w:p>
            <w:pPr>
              <w:pStyle w:val="2"/>
              <w:rPr>
                <w:rFonts w:hint="default"/>
                <w:lang w:val="en-US" w:eastAsia="zh-CN"/>
              </w:rPr>
            </w:pPr>
          </w:p>
          <w:p>
            <w:pPr>
              <w:pStyle w:val="2"/>
              <w:rPr>
                <w:rFonts w:hint="eastAsia" w:ascii="Times New Roman" w:hAnsi="Times New Roman" w:eastAsia="宋体" w:cs="Times New Roman"/>
                <w:kern w:val="2"/>
                <w:sz w:val="21"/>
                <w:highlight w:val="cyan"/>
                <w:lang w:val="en-US" w:eastAsia="zh-CN" w:bidi="ar-SA"/>
              </w:rPr>
            </w:pPr>
            <w:r>
              <w:rPr>
                <w:rFonts w:hint="eastAsia" w:ascii="Times New Roman" w:hAnsi="Times New Roman" w:eastAsia="宋体" w:cs="Times New Roman"/>
                <w:kern w:val="2"/>
                <w:sz w:val="21"/>
                <w:highlight w:val="cyan"/>
                <w:lang w:val="en-US" w:eastAsia="zh-CN" w:bidi="ar-SA"/>
              </w:rPr>
              <w:t>根据上述</w:t>
            </w:r>
            <w:r>
              <w:rPr>
                <w:rFonts w:hint="eastAsia" w:cs="Times New Roman"/>
                <w:kern w:val="2"/>
                <w:sz w:val="21"/>
                <w:highlight w:val="cyan"/>
                <w:lang w:val="en-US" w:eastAsia="zh-CN" w:bidi="ar-SA"/>
              </w:rPr>
              <w:t>三</w:t>
            </w:r>
            <w:r>
              <w:rPr>
                <w:rFonts w:hint="eastAsia" w:ascii="Times New Roman" w:hAnsi="Times New Roman" w:eastAsia="宋体" w:cs="Times New Roman"/>
                <w:kern w:val="2"/>
                <w:sz w:val="21"/>
                <w:highlight w:val="cyan"/>
                <w:lang w:val="en-US" w:eastAsia="zh-CN" w:bidi="ar-SA"/>
              </w:rPr>
              <w:t>年的能源消耗情况，制定公司能源基准，以</w:t>
            </w:r>
            <w:r>
              <w:rPr>
                <w:rFonts w:hint="eastAsia" w:cs="Times New Roman"/>
                <w:kern w:val="2"/>
                <w:sz w:val="21"/>
                <w:highlight w:val="cyan"/>
                <w:lang w:val="en-US" w:eastAsia="zh-CN" w:bidi="ar-SA"/>
              </w:rPr>
              <w:t>三</w:t>
            </w:r>
            <w:r>
              <w:rPr>
                <w:rFonts w:hint="eastAsia" w:ascii="Times New Roman" w:hAnsi="Times New Roman" w:eastAsia="宋体" w:cs="Times New Roman"/>
                <w:kern w:val="2"/>
                <w:sz w:val="21"/>
                <w:highlight w:val="cyan"/>
                <w:lang w:val="en-US" w:eastAsia="zh-CN" w:bidi="ar-SA"/>
              </w:rPr>
              <w:t>年的平均值为基准，</w:t>
            </w:r>
          </w:p>
          <w:p>
            <w:pPr>
              <w:spacing w:line="360" w:lineRule="auto"/>
              <w:jc w:val="both"/>
              <w:rPr>
                <w:rFonts w:hint="eastAsia" w:ascii="黑体" w:hAnsi="黑体" w:eastAsia="黑体"/>
                <w:sz w:val="21"/>
                <w:szCs w:val="21"/>
                <w:lang w:val="en-US" w:eastAsia="zh-CN"/>
              </w:rPr>
            </w:pPr>
            <w:r>
              <w:rPr>
                <w:rFonts w:hint="eastAsia" w:ascii="黑体" w:hAnsi="黑体" w:eastAsia="黑体"/>
                <w:sz w:val="21"/>
                <w:szCs w:val="21"/>
                <w:lang w:val="en-US" w:eastAsia="zh-CN"/>
              </w:rPr>
              <w:t>即：</w:t>
            </w:r>
            <w:r>
              <w:rPr>
                <w:rFonts w:hint="eastAsia" w:cs="Times New Roman"/>
                <w:kern w:val="2"/>
                <w:sz w:val="20"/>
                <w:szCs w:val="22"/>
                <w:lang w:val="en-US" w:eastAsia="zh-CN" w:bidi="ar-SA"/>
              </w:rPr>
              <w:t>38.13</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p>
          <w:p>
            <w:pPr>
              <w:pStyle w:val="2"/>
              <w:ind w:left="0" w:leftChars="0" w:firstLine="0" w:firstLineChars="0"/>
              <w:rPr>
                <w:rFonts w:hint="eastAsia" w:ascii="黑体" w:hAnsi="黑体" w:eastAsia="黑体"/>
                <w:sz w:val="21"/>
                <w:szCs w:val="21"/>
                <w:lang w:val="en-US" w:eastAsia="zh-CN"/>
              </w:rPr>
            </w:pPr>
            <w:r>
              <w:rPr>
                <w:rFonts w:hint="eastAsia" w:ascii="黑体" w:hAnsi="黑体" w:eastAsia="黑体"/>
                <w:sz w:val="21"/>
                <w:szCs w:val="21"/>
                <w:lang w:val="en-US" w:eastAsia="zh-CN"/>
              </w:rPr>
              <w:t>2020年的能源目标为：</w:t>
            </w:r>
            <w:r>
              <w:rPr>
                <w:rFonts w:hint="eastAsia" w:cs="Times New Roman"/>
                <w:kern w:val="2"/>
                <w:sz w:val="20"/>
                <w:szCs w:val="22"/>
                <w:lang w:val="en-US" w:eastAsia="zh-CN" w:bidi="ar-SA"/>
              </w:rPr>
              <w:t>38.13</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r>
              <w:rPr>
                <w:rFonts w:hint="eastAsia" w:ascii="黑体" w:hAnsi="黑体" w:eastAsia="黑体"/>
                <w:sz w:val="21"/>
                <w:szCs w:val="21"/>
                <w:lang w:val="en-US" w:eastAsia="zh-CN"/>
              </w:rPr>
              <w:t>。</w:t>
            </w:r>
            <w:bookmarkStart w:id="2" w:name="_GoBack"/>
            <w:bookmarkEnd w:id="2"/>
          </w:p>
          <w:p>
            <w:pPr>
              <w:pStyle w:val="2"/>
              <w:ind w:left="0" w:leftChars="0" w:firstLine="0" w:firstLineChars="0"/>
              <w:rPr>
                <w:rFonts w:hint="eastAsia" w:ascii="黑体" w:hAnsi="黑体" w:eastAsia="黑体"/>
                <w:sz w:val="21"/>
                <w:szCs w:val="21"/>
                <w:lang w:val="en-US" w:eastAsia="zh-CN"/>
              </w:rPr>
            </w:pPr>
          </w:p>
          <w:p>
            <w:pPr>
              <w:pStyle w:val="2"/>
              <w:ind w:left="0" w:leftChars="0" w:firstLine="0" w:firstLineChars="0"/>
              <w:rPr>
                <w:rFonts w:hint="eastAsia" w:ascii="黑体" w:hAnsi="黑体" w:eastAsia="黑体"/>
                <w:sz w:val="21"/>
                <w:szCs w:val="21"/>
                <w:lang w:val="en-US" w:eastAsia="zh-CN"/>
              </w:rPr>
            </w:pPr>
            <w:r>
              <w:rPr>
                <w:rFonts w:hint="eastAsia" w:ascii="黑体" w:hAnsi="黑体" w:eastAsia="黑体"/>
                <w:sz w:val="21"/>
                <w:szCs w:val="21"/>
                <w:lang w:val="en-US" w:eastAsia="zh-CN"/>
              </w:rPr>
              <w:t>2020年生产情况及能源消耗情况：</w:t>
            </w:r>
          </w:p>
          <w:tbl>
            <w:tblPr>
              <w:tblStyle w:val="10"/>
              <w:tblW w:w="4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2855"/>
              <w:gridCol w:w="2855"/>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15" w:type="pct"/>
                  <w:tcBorders>
                    <w:top w:val="double" w:color="auto" w:sz="4" w:space="0"/>
                    <w:left w:val="double" w:color="auto" w:sz="4" w:space="0"/>
                  </w:tcBorders>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  目</w:t>
                  </w:r>
                </w:p>
              </w:tc>
              <w:tc>
                <w:tcPr>
                  <w:tcW w:w="1428" w:type="pct"/>
                  <w:tcBorders>
                    <w:top w:val="double" w:color="auto" w:sz="4" w:space="0"/>
                  </w:tcBorders>
                  <w:noWrap w:val="0"/>
                  <w:vAlign w:val="center"/>
                </w:tcPr>
                <w:p>
                  <w:pPr>
                    <w:widowControl/>
                    <w:jc w:val="center"/>
                    <w:rPr>
                      <w:rFonts w:hint="eastAsia" w:ascii="宋体" w:hAnsi="宋体" w:cs="宋体"/>
                      <w:b/>
                      <w:bCs/>
                      <w:kern w:val="0"/>
                      <w:sz w:val="20"/>
                      <w:szCs w:val="20"/>
                    </w:rPr>
                  </w:pPr>
                  <w:r>
                    <w:rPr>
                      <w:rFonts w:hint="eastAsia" w:ascii="宋体" w:hAnsi="宋体" w:cs="宋体"/>
                      <w:b/>
                      <w:bCs/>
                      <w:kern w:val="0"/>
                      <w:sz w:val="20"/>
                      <w:szCs w:val="20"/>
                      <w:lang w:val="en-US" w:eastAsia="zh-CN"/>
                    </w:rPr>
                    <w:t>产品生产量</w:t>
                  </w:r>
                </w:p>
              </w:tc>
              <w:tc>
                <w:tcPr>
                  <w:tcW w:w="1428" w:type="pct"/>
                  <w:tcBorders>
                    <w:top w:val="double" w:color="auto" w:sz="4" w:space="0"/>
                  </w:tcBorders>
                  <w:noWrap w:val="0"/>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综合能耗</w:t>
                  </w:r>
                </w:p>
              </w:tc>
              <w:tc>
                <w:tcPr>
                  <w:tcW w:w="1428" w:type="pct"/>
                  <w:tcBorders>
                    <w:top w:val="double" w:color="auto" w:sz="4" w:space="0"/>
                  </w:tcBorders>
                  <w:noWrap w:val="0"/>
                  <w:vAlign w:val="center"/>
                </w:tcPr>
                <w:p>
                  <w:pPr>
                    <w:widowControl/>
                    <w:ind w:firstLine="420" w:firstLineChars="200"/>
                    <w:rPr>
                      <w:rFonts w:ascii="宋体" w:hAnsi="宋体" w:cs="宋体"/>
                      <w:b/>
                      <w:bCs/>
                      <w:kern w:val="0"/>
                      <w:sz w:val="20"/>
                      <w:szCs w:val="20"/>
                    </w:rPr>
                  </w:pPr>
                  <w:r>
                    <w:rPr>
                      <w:rFonts w:hint="eastAsia" w:ascii="黑体" w:hAnsi="黑体" w:eastAsia="黑体"/>
                      <w:szCs w:val="21"/>
                      <w:lang w:val="en-US" w:eastAsia="zh-CN"/>
                    </w:rPr>
                    <w:t>单位</w:t>
                  </w:r>
                  <w:r>
                    <w:rPr>
                      <w:rFonts w:hint="eastAsia" w:ascii="黑体" w:hAnsi="黑体" w:eastAsia="黑体"/>
                      <w:szCs w:val="21"/>
                    </w:rPr>
                    <w:t>产品单位综合能耗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15" w:type="pct"/>
                  <w:tcBorders>
                    <w:left w:val="double" w:color="auto" w:sz="4" w:space="0"/>
                  </w:tcBorders>
                  <w:noWrap/>
                  <w:vAlign w:val="center"/>
                </w:tcPr>
                <w:p>
                  <w:pPr>
                    <w:jc w:val="center"/>
                    <w:rPr>
                      <w:rFonts w:ascii="宋体" w:hAnsi="宋体" w:cs="宋体"/>
                      <w:b/>
                      <w:bCs/>
                      <w:kern w:val="0"/>
                      <w:sz w:val="20"/>
                      <w:szCs w:val="20"/>
                    </w:rPr>
                  </w:pPr>
                  <w:r>
                    <w:rPr>
                      <w:rFonts w:hint="eastAsia" w:ascii="宋体" w:hAnsi="宋体" w:cs="宋体"/>
                      <w:b/>
                      <w:bCs/>
                      <w:kern w:val="0"/>
                      <w:sz w:val="20"/>
                      <w:szCs w:val="20"/>
                    </w:rPr>
                    <w:t>单  位</w:t>
                  </w:r>
                </w:p>
              </w:tc>
              <w:tc>
                <w:tcPr>
                  <w:tcW w:w="1428" w:type="pct"/>
                  <w:noWrap w:val="0"/>
                  <w:vAlign w:val="center"/>
                </w:tcPr>
                <w:p>
                  <w:pPr>
                    <w:jc w:val="center"/>
                    <w:rPr>
                      <w:rFonts w:hint="eastAsia"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台</w:t>
                  </w:r>
                </w:p>
              </w:tc>
              <w:tc>
                <w:tcPr>
                  <w:tcW w:w="1428" w:type="pct"/>
                  <w:noWrap w:val="0"/>
                  <w:vAlign w:val="center"/>
                </w:tcPr>
                <w:p>
                  <w:pPr>
                    <w:widowControl/>
                    <w:jc w:val="center"/>
                    <w:rPr>
                      <w:rFonts w:hint="eastAsia" w:ascii="宋体" w:hAnsi="宋体" w:eastAsia="宋体" w:cs="宋体"/>
                      <w:bCs/>
                      <w:kern w:val="0"/>
                      <w:szCs w:val="21"/>
                      <w:lang w:eastAsia="zh-CN"/>
                    </w:rPr>
                  </w:pPr>
                  <w:r>
                    <w:rPr>
                      <w:rFonts w:hint="eastAsia" w:ascii="宋体" w:hAnsi="宋体" w:cs="宋体"/>
                      <w:b/>
                      <w:bCs/>
                      <w:kern w:val="0"/>
                      <w:sz w:val="20"/>
                      <w:szCs w:val="20"/>
                      <w:lang w:val="en-US" w:eastAsia="zh-CN"/>
                    </w:rPr>
                    <w:t>Kgce</w:t>
                  </w:r>
                </w:p>
              </w:tc>
              <w:tc>
                <w:tcPr>
                  <w:tcW w:w="1428" w:type="pct"/>
                  <w:noWrap w:val="0"/>
                  <w:vAlign w:val="center"/>
                </w:tcPr>
                <w:p>
                  <w:pPr>
                    <w:widowControl/>
                    <w:jc w:val="center"/>
                    <w:rPr>
                      <w:rFonts w:hint="default" w:ascii="宋体" w:hAnsi="宋体" w:eastAsia="宋体" w:cs="宋体"/>
                      <w:bCs/>
                      <w:kern w:val="0"/>
                      <w:szCs w:val="21"/>
                      <w:lang w:val="en-US" w:eastAsia="zh-CN"/>
                    </w:rPr>
                  </w:pPr>
                  <w:r>
                    <w:rPr>
                      <w:rFonts w:hint="eastAsia" w:ascii="宋体" w:hAnsi="宋体" w:cs="宋体"/>
                      <w:bCs/>
                      <w:kern w:val="0"/>
                      <w:szCs w:val="21"/>
                      <w:lang w:val="en-US" w:eastAsia="zh-CN"/>
                    </w:rPr>
                    <w:t xml:space="preserve"> Kgce/台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pct"/>
                  <w:tcBorders>
                    <w:left w:val="double" w:color="auto" w:sz="4" w:space="0"/>
                  </w:tcBorders>
                  <w:noWrap/>
                  <w:vAlign w:val="center"/>
                </w:tcPr>
                <w:p>
                  <w:pPr>
                    <w:jc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2020年</w:t>
                  </w:r>
                </w:p>
              </w:tc>
              <w:tc>
                <w:tcPr>
                  <w:tcW w:w="1428" w:type="pct"/>
                  <w:noWrap w:val="0"/>
                  <w:vAlign w:val="bottom"/>
                </w:tcPr>
                <w:p>
                  <w:pPr>
                    <w:jc w:val="center"/>
                    <w:rPr>
                      <w:rFonts w:hint="default" w:ascii="宋体" w:hAnsi="宋体" w:cs="宋体"/>
                      <w:b/>
                      <w:bCs/>
                      <w:kern w:val="0"/>
                      <w:sz w:val="20"/>
                      <w:szCs w:val="20"/>
                      <w:lang w:val="en-US" w:eastAsia="zh-CN"/>
                    </w:rPr>
                  </w:pPr>
                  <w:r>
                    <w:rPr>
                      <w:rFonts w:hint="eastAsia" w:ascii="宋体" w:hAnsi="宋体" w:cs="宋体"/>
                      <w:b/>
                      <w:bCs/>
                      <w:kern w:val="0"/>
                      <w:sz w:val="20"/>
                      <w:szCs w:val="20"/>
                      <w:lang w:val="en-US" w:eastAsia="zh-CN"/>
                    </w:rPr>
                    <w:t xml:space="preserve"> 8829</w:t>
                  </w:r>
                </w:p>
              </w:tc>
              <w:tc>
                <w:tcPr>
                  <w:tcW w:w="1428" w:type="pct"/>
                  <w:noWrap w:val="0"/>
                  <w:vAlign w:val="bottom"/>
                </w:tcPr>
                <w:p>
                  <w:pPr>
                    <w:keepNext w:val="0"/>
                    <w:keepLines w:val="0"/>
                    <w:widowControl/>
                    <w:suppressLineNumbers w:val="0"/>
                    <w:ind w:firstLine="803" w:firstLineChars="400"/>
                    <w:jc w:val="left"/>
                    <w:textAlignment w:val="bottom"/>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b/>
                      <w:bCs/>
                      <w:kern w:val="0"/>
                      <w:sz w:val="20"/>
                      <w:szCs w:val="20"/>
                      <w:lang w:val="en-US" w:eastAsia="zh-CN"/>
                    </w:rPr>
                    <w:t>327364.97</w:t>
                  </w:r>
                </w:p>
              </w:tc>
              <w:tc>
                <w:tcPr>
                  <w:tcW w:w="1428" w:type="pct"/>
                  <w:noWrap w:val="0"/>
                  <w:vAlign w:val="bottom"/>
                </w:tcPr>
                <w:p>
                  <w:pPr>
                    <w:keepNext w:val="0"/>
                    <w:keepLines w:val="0"/>
                    <w:widowControl/>
                    <w:suppressLineNumbers w:val="0"/>
                    <w:ind w:firstLine="1100" w:firstLineChars="500"/>
                    <w:jc w:val="left"/>
                    <w:textAlignment w:val="bottom"/>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37.08</w:t>
                  </w:r>
                </w:p>
              </w:tc>
            </w:tr>
          </w:tbl>
          <w:p>
            <w:pPr>
              <w:pStyle w:val="2"/>
              <w:ind w:left="0" w:leftChars="0" w:firstLine="0" w:firstLineChars="0"/>
              <w:rPr>
                <w:rFonts w:hint="default" w:ascii="黑体" w:hAnsi="黑体" w:eastAsia="黑体"/>
                <w:sz w:val="21"/>
                <w:szCs w:val="21"/>
                <w:lang w:val="en-US" w:eastAsia="zh-CN"/>
              </w:rPr>
            </w:pPr>
          </w:p>
          <w:p>
            <w:pPr>
              <w:spacing w:line="360" w:lineRule="auto"/>
              <w:jc w:val="both"/>
              <w:rPr>
                <w:rFonts w:hint="default" w:ascii="黑体" w:hAnsi="黑体" w:eastAsia="黑体"/>
                <w:sz w:val="21"/>
                <w:szCs w:val="21"/>
                <w:lang w:val="en-US" w:eastAsia="zh-CN"/>
              </w:rPr>
            </w:pPr>
            <w:r>
              <w:rPr>
                <w:rFonts w:hint="eastAsia" w:ascii="黑体" w:hAnsi="黑体" w:eastAsia="黑体"/>
                <w:sz w:val="21"/>
                <w:szCs w:val="21"/>
                <w:lang w:val="en-US" w:eastAsia="zh-CN"/>
              </w:rPr>
              <w:t>2020年完成了制定的目标</w:t>
            </w:r>
          </w:p>
          <w:p>
            <w:pPr>
              <w:pStyle w:val="2"/>
              <w:ind w:left="0" w:leftChars="0" w:firstLine="210" w:firstLineChars="1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再根据</w:t>
            </w:r>
            <w:r>
              <w:rPr>
                <w:rFonts w:hint="eastAsia" w:cs="Times New Roman"/>
                <w:kern w:val="2"/>
                <w:sz w:val="21"/>
                <w:lang w:val="en-US" w:eastAsia="zh-CN" w:bidi="ar-SA"/>
              </w:rPr>
              <w:t>2018年、</w:t>
            </w:r>
            <w:r>
              <w:rPr>
                <w:rFonts w:hint="eastAsia" w:ascii="Times New Roman" w:hAnsi="Times New Roman" w:eastAsia="宋体" w:cs="Times New Roman"/>
                <w:kern w:val="2"/>
                <w:sz w:val="21"/>
                <w:lang w:val="en-US" w:eastAsia="zh-CN" w:bidi="ar-SA"/>
              </w:rPr>
              <w:t>2019年、2020年3年的能耗情况制定2021年目标为：</w:t>
            </w:r>
            <w:r>
              <w:rPr>
                <w:rFonts w:hint="eastAsia" w:cs="Times New Roman"/>
                <w:kern w:val="2"/>
                <w:sz w:val="21"/>
                <w:lang w:val="en-US" w:eastAsia="zh-CN" w:bidi="ar-SA"/>
              </w:rPr>
              <w:t>37.38</w:t>
            </w:r>
            <w:r>
              <w:rPr>
                <w:rFonts w:hint="eastAsia" w:ascii="Times New Roman" w:hAnsi="Times New Roman" w:eastAsia="宋体" w:cs="Times New Roman"/>
                <w:kern w:val="2"/>
                <w:sz w:val="21"/>
                <w:lang w:val="en-US" w:eastAsia="zh-CN" w:bidi="ar-SA"/>
              </w:rPr>
              <w:t>kgce/</w:t>
            </w:r>
            <w:r>
              <w:rPr>
                <w:rFonts w:hint="eastAsia" w:cs="Times New Roman"/>
                <w:kern w:val="2"/>
                <w:sz w:val="21"/>
                <w:lang w:val="en-US" w:eastAsia="zh-CN" w:bidi="ar-SA"/>
              </w:rPr>
              <w:t>台</w:t>
            </w:r>
            <w:r>
              <w:rPr>
                <w:rFonts w:hint="eastAsia" w:ascii="Times New Roman" w:hAnsi="Times New Roman" w:eastAsia="宋体" w:cs="Times New Roman"/>
                <w:kern w:val="2"/>
                <w:sz w:val="21"/>
                <w:lang w:val="en-US" w:eastAsia="zh-CN" w:bidi="ar-SA"/>
              </w:rPr>
              <w:t>。</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2021年1-6月份能源情况为：</w:t>
            </w:r>
          </w:p>
          <w:p>
            <w:pPr>
              <w:pStyle w:val="2"/>
              <w:rPr>
                <w:rFonts w:hint="default" w:ascii="黑体" w:hAnsi="黑体" w:eastAsia="黑体"/>
                <w:sz w:val="21"/>
                <w:szCs w:val="21"/>
                <w:lang w:val="en-US" w:eastAsia="zh-CN"/>
              </w:rPr>
            </w:pPr>
          </w:p>
          <w:tbl>
            <w:tblPr>
              <w:tblStyle w:val="10"/>
              <w:tblW w:w="4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2855"/>
              <w:gridCol w:w="2855"/>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15" w:type="pct"/>
                  <w:tcBorders>
                    <w:top w:val="double" w:color="auto" w:sz="4" w:space="0"/>
                    <w:left w:val="double" w:color="auto" w:sz="4" w:space="0"/>
                  </w:tcBorders>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  目</w:t>
                  </w:r>
                </w:p>
              </w:tc>
              <w:tc>
                <w:tcPr>
                  <w:tcW w:w="1428" w:type="pct"/>
                  <w:tcBorders>
                    <w:top w:val="double" w:color="auto" w:sz="4" w:space="0"/>
                  </w:tcBorders>
                  <w:noWrap w:val="0"/>
                  <w:vAlign w:val="center"/>
                </w:tcPr>
                <w:p>
                  <w:pPr>
                    <w:widowControl/>
                    <w:jc w:val="center"/>
                    <w:rPr>
                      <w:rFonts w:hint="eastAsia" w:ascii="宋体" w:hAnsi="宋体" w:cs="宋体"/>
                      <w:b/>
                      <w:bCs/>
                      <w:kern w:val="0"/>
                      <w:sz w:val="20"/>
                      <w:szCs w:val="20"/>
                    </w:rPr>
                  </w:pPr>
                  <w:r>
                    <w:rPr>
                      <w:rFonts w:hint="eastAsia" w:ascii="宋体" w:hAnsi="宋体" w:cs="宋体"/>
                      <w:b/>
                      <w:bCs/>
                      <w:kern w:val="0"/>
                      <w:sz w:val="20"/>
                      <w:szCs w:val="20"/>
                      <w:lang w:val="en-US" w:eastAsia="zh-CN"/>
                    </w:rPr>
                    <w:t>产品生产量</w:t>
                  </w:r>
                </w:p>
              </w:tc>
              <w:tc>
                <w:tcPr>
                  <w:tcW w:w="1428" w:type="pct"/>
                  <w:tcBorders>
                    <w:top w:val="double" w:color="auto" w:sz="4" w:space="0"/>
                  </w:tcBorders>
                  <w:noWrap w:val="0"/>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综合能耗</w:t>
                  </w:r>
                </w:p>
              </w:tc>
              <w:tc>
                <w:tcPr>
                  <w:tcW w:w="1428" w:type="pct"/>
                  <w:tcBorders>
                    <w:top w:val="double" w:color="auto" w:sz="4" w:space="0"/>
                  </w:tcBorders>
                  <w:noWrap w:val="0"/>
                  <w:vAlign w:val="center"/>
                </w:tcPr>
                <w:p>
                  <w:pPr>
                    <w:widowControl/>
                    <w:ind w:firstLine="420" w:firstLineChars="200"/>
                    <w:rPr>
                      <w:rFonts w:ascii="宋体" w:hAnsi="宋体" w:cs="宋体"/>
                      <w:b/>
                      <w:bCs/>
                      <w:kern w:val="0"/>
                      <w:sz w:val="20"/>
                      <w:szCs w:val="20"/>
                    </w:rPr>
                  </w:pPr>
                  <w:r>
                    <w:rPr>
                      <w:rFonts w:hint="eastAsia" w:ascii="黑体" w:hAnsi="黑体" w:eastAsia="黑体"/>
                      <w:szCs w:val="21"/>
                      <w:lang w:val="en-US" w:eastAsia="zh-CN"/>
                    </w:rPr>
                    <w:t>单位</w:t>
                  </w:r>
                  <w:r>
                    <w:rPr>
                      <w:rFonts w:hint="eastAsia" w:ascii="黑体" w:hAnsi="黑体" w:eastAsia="黑体"/>
                      <w:szCs w:val="21"/>
                    </w:rPr>
                    <w:t>产品单位综合能耗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15" w:type="pct"/>
                  <w:tcBorders>
                    <w:left w:val="double" w:color="auto" w:sz="4" w:space="0"/>
                  </w:tcBorders>
                  <w:noWrap/>
                  <w:vAlign w:val="center"/>
                </w:tcPr>
                <w:p>
                  <w:pPr>
                    <w:jc w:val="center"/>
                    <w:rPr>
                      <w:rFonts w:ascii="宋体" w:hAnsi="宋体" w:cs="宋体"/>
                      <w:b/>
                      <w:bCs/>
                      <w:kern w:val="0"/>
                      <w:sz w:val="20"/>
                      <w:szCs w:val="20"/>
                    </w:rPr>
                  </w:pPr>
                  <w:r>
                    <w:rPr>
                      <w:rFonts w:hint="eastAsia" w:ascii="宋体" w:hAnsi="宋体" w:cs="宋体"/>
                      <w:b/>
                      <w:bCs/>
                      <w:kern w:val="0"/>
                      <w:sz w:val="20"/>
                      <w:szCs w:val="20"/>
                    </w:rPr>
                    <w:t>单  位</w:t>
                  </w:r>
                </w:p>
              </w:tc>
              <w:tc>
                <w:tcPr>
                  <w:tcW w:w="1428" w:type="pct"/>
                  <w:noWrap w:val="0"/>
                  <w:vAlign w:val="center"/>
                </w:tcPr>
                <w:p>
                  <w:pPr>
                    <w:jc w:val="center"/>
                    <w:rPr>
                      <w:rFonts w:hint="eastAsia"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台</w:t>
                  </w:r>
                </w:p>
              </w:tc>
              <w:tc>
                <w:tcPr>
                  <w:tcW w:w="1428" w:type="pct"/>
                  <w:noWrap w:val="0"/>
                  <w:vAlign w:val="center"/>
                </w:tcPr>
                <w:p>
                  <w:pPr>
                    <w:widowControl/>
                    <w:jc w:val="center"/>
                    <w:rPr>
                      <w:rFonts w:hint="eastAsia" w:ascii="宋体" w:hAnsi="宋体" w:eastAsia="宋体" w:cs="宋体"/>
                      <w:bCs/>
                      <w:kern w:val="0"/>
                      <w:szCs w:val="21"/>
                      <w:lang w:eastAsia="zh-CN"/>
                    </w:rPr>
                  </w:pPr>
                  <w:r>
                    <w:rPr>
                      <w:rFonts w:hint="eastAsia" w:ascii="宋体" w:hAnsi="宋体" w:cs="宋体"/>
                      <w:b/>
                      <w:bCs/>
                      <w:kern w:val="0"/>
                      <w:sz w:val="20"/>
                      <w:szCs w:val="20"/>
                      <w:lang w:val="en-US" w:eastAsia="zh-CN"/>
                    </w:rPr>
                    <w:t>Kgce</w:t>
                  </w:r>
                </w:p>
              </w:tc>
              <w:tc>
                <w:tcPr>
                  <w:tcW w:w="1428" w:type="pct"/>
                  <w:noWrap w:val="0"/>
                  <w:vAlign w:val="center"/>
                </w:tcPr>
                <w:p>
                  <w:pPr>
                    <w:widowControl/>
                    <w:jc w:val="center"/>
                    <w:rPr>
                      <w:rFonts w:hint="default" w:ascii="宋体" w:hAnsi="宋体" w:eastAsia="宋体" w:cs="宋体"/>
                      <w:bCs/>
                      <w:kern w:val="0"/>
                      <w:szCs w:val="21"/>
                      <w:lang w:val="en-US" w:eastAsia="zh-CN"/>
                    </w:rPr>
                  </w:pPr>
                  <w:r>
                    <w:rPr>
                      <w:rFonts w:hint="eastAsia" w:ascii="宋体" w:hAnsi="宋体" w:cs="宋体"/>
                      <w:bCs/>
                      <w:kern w:val="0"/>
                      <w:szCs w:val="21"/>
                      <w:lang w:val="en-US" w:eastAsia="zh-CN"/>
                    </w:rPr>
                    <w:t>Kgce/台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pct"/>
                  <w:tcBorders>
                    <w:left w:val="double" w:color="auto" w:sz="4" w:space="0"/>
                  </w:tcBorders>
                  <w:noWrap/>
                  <w:vAlign w:val="center"/>
                </w:tcPr>
                <w:p>
                  <w:pPr>
                    <w:jc w:val="center"/>
                    <w:rPr>
                      <w:rFonts w:hint="default" w:ascii="宋体" w:hAnsi="宋体" w:eastAsia="宋体" w:cs="宋体"/>
                      <w:b/>
                      <w:bCs/>
                      <w:kern w:val="0"/>
                      <w:sz w:val="20"/>
                      <w:szCs w:val="20"/>
                      <w:lang w:val="en-US" w:eastAsia="zh-CN"/>
                    </w:rPr>
                  </w:pPr>
                  <w:r>
                    <w:rPr>
                      <w:rFonts w:hint="eastAsia" w:ascii="宋体" w:hAnsi="宋体" w:cs="宋体"/>
                      <w:b/>
                      <w:bCs/>
                      <w:kern w:val="0"/>
                      <w:sz w:val="20"/>
                      <w:szCs w:val="20"/>
                      <w:lang w:val="en-US" w:eastAsia="zh-CN"/>
                    </w:rPr>
                    <w:t>2021年1-6月份</w:t>
                  </w:r>
                </w:p>
              </w:tc>
              <w:tc>
                <w:tcPr>
                  <w:tcW w:w="1428" w:type="pct"/>
                  <w:noWrap w:val="0"/>
                  <w:vAlign w:val="bottom"/>
                </w:tcPr>
                <w:p>
                  <w:pPr>
                    <w:jc w:val="center"/>
                    <w:rPr>
                      <w:rFonts w:hint="default" w:ascii="宋体" w:hAnsi="宋体" w:cs="宋体"/>
                      <w:b/>
                      <w:bCs/>
                      <w:kern w:val="0"/>
                      <w:sz w:val="20"/>
                      <w:szCs w:val="20"/>
                      <w:lang w:val="en-US" w:eastAsia="zh-CN"/>
                    </w:rPr>
                  </w:pPr>
                  <w:r>
                    <w:rPr>
                      <w:rFonts w:hint="eastAsia" w:ascii="宋体" w:hAnsi="宋体" w:cs="宋体"/>
                      <w:b/>
                      <w:bCs/>
                      <w:kern w:val="0"/>
                      <w:sz w:val="20"/>
                      <w:szCs w:val="20"/>
                      <w:lang w:val="en-US" w:eastAsia="zh-CN"/>
                    </w:rPr>
                    <w:t>5145</w:t>
                  </w:r>
                </w:p>
              </w:tc>
              <w:tc>
                <w:tcPr>
                  <w:tcW w:w="1428" w:type="pct"/>
                  <w:noWrap w:val="0"/>
                  <w:vAlign w:val="bottom"/>
                </w:tcPr>
                <w:p>
                  <w:pPr>
                    <w:keepNext w:val="0"/>
                    <w:keepLines w:val="0"/>
                    <w:widowControl/>
                    <w:suppressLineNumbers w:val="0"/>
                    <w:ind w:firstLine="880" w:firstLineChars="400"/>
                    <w:jc w:val="left"/>
                    <w:textAlignment w:val="bottom"/>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204518.53</w:t>
                  </w:r>
                </w:p>
              </w:tc>
              <w:tc>
                <w:tcPr>
                  <w:tcW w:w="1428" w:type="pct"/>
                  <w:noWrap w:val="0"/>
                  <w:vAlign w:val="bottom"/>
                </w:tcPr>
                <w:p>
                  <w:pPr>
                    <w:keepNext w:val="0"/>
                    <w:keepLines w:val="0"/>
                    <w:widowControl/>
                    <w:suppressLineNumbers w:val="0"/>
                    <w:ind w:firstLine="1100" w:firstLineChars="500"/>
                    <w:jc w:val="left"/>
                    <w:textAlignment w:val="bottom"/>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39.75</w:t>
                  </w:r>
                </w:p>
              </w:tc>
            </w:tr>
          </w:tbl>
          <w:p>
            <w:pPr>
              <w:pStyle w:val="2"/>
              <w:rPr>
                <w:rFonts w:ascii="黑体" w:hAnsi="黑体" w:eastAsia="黑体"/>
                <w:sz w:val="21"/>
                <w:szCs w:val="21"/>
              </w:rPr>
            </w:pPr>
          </w:p>
          <w:p>
            <w:pPr>
              <w:pStyle w:val="2"/>
              <w:rPr>
                <w:rFonts w:hint="default" w:ascii="宋体" w:hAnsi="宋体" w:eastAsia="宋体" w:cs="Times New Roman"/>
                <w:kern w:val="2"/>
                <w:sz w:val="21"/>
                <w:szCs w:val="22"/>
                <w:highlight w:val="cyan"/>
                <w:lang w:val="en-US" w:eastAsia="zh-CN" w:bidi="ar-SA"/>
              </w:rPr>
            </w:pPr>
            <w:r>
              <w:rPr>
                <w:rFonts w:hint="eastAsia" w:ascii="宋体" w:hAnsi="宋体" w:eastAsia="宋体" w:cs="Times New Roman"/>
                <w:kern w:val="2"/>
                <w:sz w:val="21"/>
                <w:szCs w:val="22"/>
                <w:highlight w:val="cyan"/>
                <w:lang w:val="en-US" w:eastAsia="zh-CN" w:bidi="ar-SA"/>
              </w:rPr>
              <w:t>2021年1-6月份超目标，</w:t>
            </w:r>
            <w:r>
              <w:rPr>
                <w:rFonts w:hint="eastAsia" w:ascii="宋体" w:hAnsi="宋体" w:cs="Times New Roman"/>
                <w:kern w:val="2"/>
                <w:sz w:val="21"/>
                <w:szCs w:val="22"/>
                <w:highlight w:val="cyan"/>
                <w:lang w:val="en-US" w:eastAsia="zh-CN" w:bidi="ar-SA"/>
              </w:rPr>
              <w:t>没有进行原因分析，并制定纠正措施</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七、现场巡视情况：</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现场查看生产控制和设备运行情况，部分生产设备正在运行现场生产秩序良好，未发现跑冒滴漏现象；</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default"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现场计量设备有计量确认合格证。</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生产控制及设备运行情况</w:t>
            </w:r>
          </w:p>
          <w:p>
            <w:pPr>
              <w:pStyle w:val="3"/>
              <w:keepNext w:val="0"/>
              <w:keepLines w:val="0"/>
              <w:pageBreakBefore w:val="0"/>
              <w:widowControl w:val="0"/>
              <w:kinsoku/>
              <w:wordWrap/>
              <w:overflowPunct/>
              <w:topLinePunct w:val="0"/>
              <w:autoSpaceDE/>
              <w:autoSpaceDN/>
              <w:bidi w:val="0"/>
              <w:spacing w:before="157" w:beforeLines="50"/>
              <w:textAlignment w:val="auto"/>
              <w:rPr>
                <w:rFonts w:hint="default"/>
                <w:lang w:val="en-US" w:eastAsia="zh-CN"/>
              </w:rPr>
            </w:pPr>
            <w:r>
              <w:rPr>
                <w:rFonts w:hint="eastAsia"/>
                <w:lang w:val="en-US" w:eastAsia="zh-CN"/>
              </w:rPr>
              <w:t xml:space="preserve">  </w:t>
            </w:r>
            <w:r>
              <w:rPr>
                <w:rFonts w:hint="eastAsia" w:ascii="宋体" w:hAnsi="宋体"/>
                <w:b/>
                <w:sz w:val="28"/>
                <w:szCs w:val="28"/>
              </w:rPr>
              <w:drawing>
                <wp:inline distT="0" distB="0" distL="114300" distR="114300">
                  <wp:extent cx="5641340" cy="3153410"/>
                  <wp:effectExtent l="0" t="0" r="10160" b="8890"/>
                  <wp:docPr id="13" name="图片 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未标题-1"/>
                          <pic:cNvPicPr>
                            <a:picLocks noChangeAspect="1"/>
                          </pic:cNvPicPr>
                        </pic:nvPicPr>
                        <pic:blipFill>
                          <a:blip r:embed="rId12"/>
                          <a:stretch>
                            <a:fillRect/>
                          </a:stretch>
                        </pic:blipFill>
                        <pic:spPr>
                          <a:xfrm>
                            <a:off x="0" y="0"/>
                            <a:ext cx="5641340" cy="315341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81910" cy="1951355"/>
                  <wp:effectExtent l="0" t="0" r="8890" b="4445"/>
                  <wp:docPr id="14" name="图片 14" descr="94ee0a4bcf2db6b5694758d401e47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4ee0a4bcf2db6b5694758d401e478f"/>
                          <pic:cNvPicPr>
                            <a:picLocks noChangeAspect="1"/>
                          </pic:cNvPicPr>
                        </pic:nvPicPr>
                        <pic:blipFill>
                          <a:blip r:embed="rId13"/>
                          <a:stretch>
                            <a:fillRect/>
                          </a:stretch>
                        </pic:blipFill>
                        <pic:spPr>
                          <a:xfrm>
                            <a:off x="0" y="0"/>
                            <a:ext cx="2581910" cy="195135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13305" cy="1946910"/>
                  <wp:effectExtent l="0" t="0" r="10795" b="8890"/>
                  <wp:docPr id="19" name="图片 19" descr="58a5295d856fd34d0fbbcf0766b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8a5295d856fd34d0fbbcf0766b9782"/>
                          <pic:cNvPicPr>
                            <a:picLocks noChangeAspect="1"/>
                          </pic:cNvPicPr>
                        </pic:nvPicPr>
                        <pic:blipFill>
                          <a:blip r:embed="rId14"/>
                          <a:stretch>
                            <a:fillRect/>
                          </a:stretch>
                        </pic:blipFill>
                        <pic:spPr>
                          <a:xfrm>
                            <a:off x="0" y="0"/>
                            <a:ext cx="2313305" cy="1946910"/>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spacing w:before="157" w:beforeLines="50"/>
              <w:textAlignment w:val="auto"/>
              <w:rPr>
                <w:rFonts w:hint="default"/>
                <w:lang w:val="en-US" w:eastAsia="zh-CN"/>
              </w:rPr>
            </w:pPr>
            <w:r>
              <w:rPr>
                <w:rFonts w:hint="eastAsia"/>
                <w:lang w:val="en-US" w:eastAsia="zh-CN"/>
              </w:rPr>
              <w:t xml:space="preserve">    </w:t>
            </w:r>
          </w:p>
          <w:p>
            <w:pPr>
              <w:pStyle w:val="3"/>
              <w:keepNext w:val="0"/>
              <w:keepLines w:val="0"/>
              <w:pageBreakBefore w:val="0"/>
              <w:widowControl w:val="0"/>
              <w:kinsoku/>
              <w:wordWrap/>
              <w:overflowPunct/>
              <w:topLinePunct w:val="0"/>
              <w:autoSpaceDE/>
              <w:autoSpaceDN/>
              <w:bidi w:val="0"/>
              <w:spacing w:before="157" w:beforeLines="50"/>
              <w:textAlignment w:val="auto"/>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2877185" cy="2157730"/>
                  <wp:effectExtent l="0" t="0" r="5715" b="1270"/>
                  <wp:docPr id="15" name="图片 15" descr="c7b7dfe8b1b1a43309222a97e66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7b7dfe8b1b1a43309222a97e669798"/>
                          <pic:cNvPicPr>
                            <a:picLocks noChangeAspect="1"/>
                          </pic:cNvPicPr>
                        </pic:nvPicPr>
                        <pic:blipFill>
                          <a:blip r:embed="rId15"/>
                          <a:stretch>
                            <a:fillRect/>
                          </a:stretch>
                        </pic:blipFill>
                        <pic:spPr>
                          <a:xfrm>
                            <a:off x="0" y="0"/>
                            <a:ext cx="2877185" cy="215773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912745" cy="2099945"/>
                  <wp:effectExtent l="0" t="0" r="8255" b="8255"/>
                  <wp:docPr id="16" name="图片 16" descr="7e89af1ab06582a0cb1382f3636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e89af1ab06582a0cb1382f36363331"/>
                          <pic:cNvPicPr>
                            <a:picLocks noChangeAspect="1"/>
                          </pic:cNvPicPr>
                        </pic:nvPicPr>
                        <pic:blipFill>
                          <a:blip r:embed="rId16"/>
                          <a:stretch>
                            <a:fillRect/>
                          </a:stretch>
                        </pic:blipFill>
                        <pic:spPr>
                          <a:xfrm>
                            <a:off x="0" y="0"/>
                            <a:ext cx="2912745" cy="209994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spacing w:before="157" w:beforeLines="50"/>
              <w:textAlignment w:val="auto"/>
              <w:rPr>
                <w:rFonts w:hint="default"/>
                <w:lang w:val="en-US" w:eastAsia="zh-CN"/>
              </w:rPr>
            </w:pPr>
            <w:r>
              <w:rPr>
                <w:rFonts w:hint="eastAsia"/>
                <w:lang w:val="en-US" w:eastAsia="zh-CN"/>
              </w:rPr>
              <w:t xml:space="preserve">     </w:t>
            </w:r>
          </w:p>
        </w:tc>
        <w:tc>
          <w:tcPr>
            <w:tcW w:w="792"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lang w:val="en-US" w:eastAsia="zh-CN"/>
              </w:rPr>
            </w:pPr>
            <w:r>
              <w:rPr>
                <w:rFonts w:hint="eastAsia"/>
                <w:lang w:val="en-US" w:eastAsia="zh-CN"/>
              </w:rPr>
              <w:t>Y</w:t>
            </w:r>
          </w:p>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lang w:val="en-US" w:eastAsia="zh-CN"/>
              </w:rPr>
            </w:pPr>
            <w:r>
              <w:rPr>
                <w:rFonts w:hint="eastAsia" w:ascii="宋体" w:hAnsi="宋体"/>
                <w:szCs w:val="21"/>
                <w:lang w:val="en-US" w:eastAsia="zh-CN"/>
              </w:rPr>
              <w:t>能源绩效和能源管理体系的监视、测量、分析和评价 、</w:t>
            </w:r>
          </w:p>
        </w:tc>
        <w:tc>
          <w:tcPr>
            <w:tcW w:w="960" w:type="dxa"/>
          </w:tcPr>
          <w:p>
            <w:pPr>
              <w:rPr>
                <w:rFonts w:hint="default"/>
                <w:lang w:val="en-US" w:eastAsia="zh-CN"/>
              </w:rPr>
            </w:pPr>
            <w:r>
              <w:rPr>
                <w:rFonts w:hint="eastAsia"/>
                <w:lang w:val="en-US" w:eastAsia="zh-CN"/>
              </w:rPr>
              <w:t>En9.1.1</w:t>
            </w:r>
          </w:p>
        </w:tc>
        <w:tc>
          <w:tcPr>
            <w:tcW w:w="10797"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lang w:val="en-US" w:eastAsia="zh-CN"/>
              </w:rPr>
              <w:t>抽查能源统计分析情况：</w:t>
            </w:r>
          </w:p>
          <w:p>
            <w:pPr>
              <w:keepNext w:val="0"/>
              <w:keepLines w:val="0"/>
              <w:pageBreakBefore w:val="0"/>
              <w:widowControl w:val="0"/>
              <w:kinsoku/>
              <w:wordWrap/>
              <w:overflowPunct/>
              <w:topLinePunct w:val="0"/>
              <w:autoSpaceDE/>
              <w:autoSpaceDN/>
              <w:bidi w:val="0"/>
              <w:adjustRightInd/>
              <w:snapToGrid/>
              <w:spacing w:before="157" w:beforeLines="50"/>
              <w:ind w:firstLine="210" w:firstLineChars="100"/>
              <w:textAlignment w:val="auto"/>
              <w:rPr>
                <w:rFonts w:hint="eastAsia"/>
                <w:lang w:val="en-US" w:eastAsia="zh-CN"/>
              </w:rPr>
            </w:pPr>
            <w:r>
              <w:rPr>
                <w:rFonts w:hint="eastAsia"/>
                <w:lang w:val="en-US" w:eastAsia="zh-CN"/>
              </w:rPr>
              <w:t>从2017年、2018年、2019年、2020年2021年1-7月份的单位产品能耗</w:t>
            </w:r>
            <w:r>
              <w:rPr>
                <w:rFonts w:hint="eastAsia" w:cs="Times New Roman"/>
                <w:kern w:val="2"/>
                <w:sz w:val="21"/>
                <w:lang w:val="en-US" w:eastAsia="zh-CN" w:bidi="ar-SA"/>
              </w:rPr>
              <w:t>39.34.kgce/台、38.66kgce/台、36.3kgce/台、37.08kgce/台、39.7kgce/台</w:t>
            </w:r>
            <w:r>
              <w:rPr>
                <w:rFonts w:hint="eastAsia"/>
                <w:lang w:val="en-US" w:eastAsia="zh-CN"/>
              </w:rPr>
              <w:t>，来看，企业的单位产品能耗呈逐步下降之势，2021年1-7月份单位产品能耗稍高，（</w:t>
            </w:r>
            <w:r>
              <w:rPr>
                <w:rFonts w:hint="eastAsia"/>
                <w:color w:val="0000FF"/>
                <w:lang w:val="en-US" w:eastAsia="zh-CN"/>
              </w:rPr>
              <w:t>查看10.1企业是否分析原因，并制定节能措施。）</w:t>
            </w:r>
          </w:p>
          <w:p>
            <w:pPr>
              <w:pStyle w:val="2"/>
              <w:rPr>
                <w:rFonts w:hint="default"/>
                <w:lang w:val="en-US" w:eastAsia="zh-CN"/>
              </w:rPr>
            </w:pPr>
            <w:r>
              <w:rPr>
                <w:rFonts w:hint="eastAsia" w:ascii="Times New Roman" w:hAnsi="Times New Roman" w:eastAsia="宋体" w:cs="Times New Roman"/>
                <w:kern w:val="2"/>
                <w:sz w:val="21"/>
                <w:lang w:val="en-US" w:eastAsia="zh-CN" w:bidi="ar-SA"/>
              </w:rPr>
              <w:t>因此，企业应继续保持这种用能状况，操作设备时按操作规程进行操作，保持这种继续下降的形式</w:t>
            </w:r>
            <w:r>
              <w:rPr>
                <w:rFonts w:hint="eastAsia"/>
                <w:lang w:val="en-US" w:eastAsia="zh-CN"/>
              </w:rPr>
              <w:t>。</w:t>
            </w:r>
          </w:p>
        </w:tc>
        <w:tc>
          <w:tcPr>
            <w:tcW w:w="792" w:type="dxa"/>
          </w:tcPr>
          <w:p>
            <w:pPr>
              <w:pStyle w:val="2"/>
              <w:ind w:left="0" w:leftChars="0" w:firstLine="0" w:firstLineChars="0"/>
            </w:pPr>
          </w:p>
          <w:p>
            <w:pPr>
              <w:pStyle w:val="2"/>
              <w:ind w:left="0" w:leftChars="0" w:firstLine="0" w:firstLineChars="0"/>
            </w:pPr>
          </w:p>
          <w:p>
            <w:pPr>
              <w:pStyle w:val="2"/>
              <w:ind w:left="0" w:leftChars="0" w:firstLine="0" w:firstLineChars="0"/>
              <w:rPr>
                <w:rFonts w:hint="eastAsia"/>
                <w:lang w:val="en-US" w:eastAsia="zh-CN"/>
              </w:rPr>
            </w:pPr>
            <w:r>
              <w:rPr>
                <w:rFonts w:hint="eastAsia"/>
                <w:lang w:val="en-US" w:eastAsia="zh-CN"/>
              </w:rPr>
              <w:t xml:space="preserve"> </w:t>
            </w:r>
          </w:p>
          <w:p>
            <w:pPr>
              <w:pStyle w:val="2"/>
              <w:ind w:left="0" w:leftChars="0" w:firstLine="0" w:firstLineChars="0"/>
              <w:rPr>
                <w:rFonts w:hint="default"/>
                <w:lang w:val="en-US" w:eastAsia="zh-CN"/>
              </w:rPr>
            </w:pPr>
            <w:r>
              <w:rPr>
                <w:rFonts w:hint="eastAsia"/>
                <w:lang w:val="en-US" w:eastAsia="zh-CN"/>
              </w:rPr>
              <w:t xml:space="preserve">  y</w:t>
            </w:r>
          </w:p>
          <w:p>
            <w:pPr>
              <w:pStyle w:val="2"/>
            </w:pPr>
          </w:p>
          <w:p>
            <w:pPr>
              <w:pStyle w:val="2"/>
              <w:ind w:left="0" w:leftChars="0"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ascii="宋体" w:hAnsi="宋体"/>
                <w:szCs w:val="21"/>
                <w:lang w:val="en-US" w:eastAsia="zh-CN"/>
              </w:rPr>
            </w:pPr>
            <w:r>
              <w:rPr>
                <w:rFonts w:hint="eastAsia" w:ascii="宋体" w:hAnsi="宋体"/>
                <w:szCs w:val="21"/>
                <w:lang w:val="en-US" w:eastAsia="zh-CN"/>
              </w:rPr>
              <w:t>合规性评价</w:t>
            </w:r>
          </w:p>
        </w:tc>
        <w:tc>
          <w:tcPr>
            <w:tcW w:w="960" w:type="dxa"/>
          </w:tcPr>
          <w:p>
            <w:pPr>
              <w:rPr>
                <w:rFonts w:hint="default"/>
                <w:lang w:val="en-US" w:eastAsia="zh-CN"/>
              </w:rPr>
            </w:pPr>
            <w:r>
              <w:rPr>
                <w:rFonts w:hint="eastAsia"/>
                <w:lang w:val="en-US" w:eastAsia="zh-CN"/>
              </w:rPr>
              <w:t>En9.1.2</w:t>
            </w:r>
          </w:p>
        </w:tc>
        <w:tc>
          <w:tcPr>
            <w:tcW w:w="10797" w:type="dxa"/>
          </w:tcPr>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公司建立“能源法律法规及其他要求清单”  清单内容包括序号、法律法规及其他要求名称、发布部门、发布日期、实施日期、获取日期、识别适宜条款、涉及公司主管部门、备注等等</w:t>
            </w:r>
          </w:p>
          <w:p>
            <w:pPr>
              <w:pStyle w:val="2"/>
              <w:ind w:left="0" w:leftChars="0" w:firstLine="0" w:firstLineChars="0"/>
              <w:rPr>
                <w:rFonts w:hint="default" w:eastAsia="宋体" w:cs="Times New Roman"/>
                <w:kern w:val="2"/>
                <w:sz w:val="21"/>
                <w:lang w:val="en-US" w:eastAsia="zh-CN" w:bidi="ar-SA"/>
              </w:rPr>
            </w:pPr>
            <w:r>
              <w:rPr>
                <w:rFonts w:hint="eastAsia" w:eastAsia="宋体" w:cs="Times New Roman"/>
                <w:kern w:val="2"/>
                <w:sz w:val="21"/>
                <w:lang w:val="en-US" w:eastAsia="zh-CN" w:bidi="ar-SA"/>
              </w:rPr>
              <w:t>获取国家及行业能源法律法规 49项，浙江省、</w:t>
            </w:r>
            <w:r>
              <w:rPr>
                <w:rFonts w:hint="eastAsia" w:cs="Times New Roman"/>
                <w:kern w:val="2"/>
                <w:sz w:val="21"/>
                <w:lang w:val="en-US" w:eastAsia="zh-CN" w:bidi="ar-SA"/>
              </w:rPr>
              <w:t>湖州市</w:t>
            </w:r>
            <w:r>
              <w:rPr>
                <w:rFonts w:hint="eastAsia" w:eastAsia="宋体" w:cs="Times New Roman"/>
                <w:kern w:val="2"/>
                <w:sz w:val="21"/>
                <w:lang w:val="en-US" w:eastAsia="zh-CN" w:bidi="ar-SA"/>
              </w:rPr>
              <w:t>、</w:t>
            </w:r>
            <w:r>
              <w:rPr>
                <w:rFonts w:hint="eastAsia" w:cs="Times New Roman"/>
                <w:kern w:val="2"/>
                <w:sz w:val="21"/>
                <w:lang w:val="en-US" w:eastAsia="zh-CN" w:bidi="ar-SA"/>
              </w:rPr>
              <w:t>南浔区</w:t>
            </w:r>
            <w:r>
              <w:rPr>
                <w:rFonts w:hint="eastAsia" w:eastAsia="宋体" w:cs="Times New Roman"/>
                <w:kern w:val="2"/>
                <w:sz w:val="21"/>
                <w:lang w:val="en-US" w:eastAsia="zh-CN" w:bidi="ar-SA"/>
              </w:rPr>
              <w:t>地方法规 11项，但未能获取《</w:t>
            </w:r>
            <w:r>
              <w:rPr>
                <w:rFonts w:hint="eastAsia" w:cs="Times New Roman"/>
                <w:kern w:val="2"/>
                <w:sz w:val="21"/>
                <w:lang w:val="en-US" w:eastAsia="zh-CN" w:bidi="ar-SA"/>
              </w:rPr>
              <w:t>浙江省节能降耗和能源资源优化配置“十四五”规划</w:t>
            </w:r>
            <w:r>
              <w:rPr>
                <w:rFonts w:hint="eastAsia" w:eastAsia="宋体" w:cs="Times New Roman"/>
                <w:kern w:val="2"/>
                <w:sz w:val="21"/>
                <w:lang w:val="en-US" w:eastAsia="zh-CN" w:bidi="ar-SA"/>
              </w:rPr>
              <w:t>》</w:t>
            </w:r>
            <w:r>
              <w:rPr>
                <w:rFonts w:hint="eastAsia" w:cs="Times New Roman"/>
                <w:kern w:val="2"/>
                <w:sz w:val="21"/>
                <w:lang w:val="en-US" w:eastAsia="zh-CN" w:bidi="ar-SA"/>
              </w:rPr>
              <w:t>、GB2589-2008标准已经过期失效。（问题项）</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出示《能源管理体系合规性评价报告》      评价日期：2021年1月12日</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参加评价人员：</w:t>
            </w:r>
            <w:r>
              <w:rPr>
                <w:rFonts w:hint="eastAsia" w:cs="Times New Roman"/>
                <w:kern w:val="2"/>
                <w:sz w:val="21"/>
                <w:lang w:val="en-US" w:eastAsia="zh-CN" w:bidi="ar-SA"/>
              </w:rPr>
              <w:t>顾卫昌</w:t>
            </w:r>
            <w:r>
              <w:rPr>
                <w:rFonts w:hint="eastAsia" w:eastAsia="宋体" w:cs="Times New Roman"/>
                <w:kern w:val="2"/>
                <w:sz w:val="21"/>
                <w:lang w:val="en-US" w:eastAsia="zh-CN" w:bidi="ar-SA"/>
              </w:rPr>
              <w:t>、</w:t>
            </w:r>
            <w:r>
              <w:rPr>
                <w:rFonts w:hint="eastAsia" w:cs="Times New Roman"/>
                <w:kern w:val="2"/>
                <w:sz w:val="21"/>
                <w:lang w:val="en-US" w:eastAsia="zh-CN" w:bidi="ar-SA"/>
              </w:rPr>
              <w:t>周秀文</w:t>
            </w:r>
            <w:r>
              <w:rPr>
                <w:rFonts w:hint="eastAsia" w:eastAsia="宋体" w:cs="Times New Roman"/>
                <w:kern w:val="2"/>
                <w:sz w:val="21"/>
                <w:lang w:val="en-US" w:eastAsia="zh-CN" w:bidi="ar-SA"/>
              </w:rPr>
              <w:t>、</w:t>
            </w:r>
            <w:r>
              <w:rPr>
                <w:rFonts w:hint="eastAsia" w:cs="Times New Roman"/>
                <w:kern w:val="2"/>
                <w:sz w:val="21"/>
                <w:lang w:val="en-US" w:eastAsia="zh-CN" w:bidi="ar-SA"/>
              </w:rPr>
              <w:t>徐丽娇</w:t>
            </w:r>
            <w:r>
              <w:rPr>
                <w:rFonts w:hint="eastAsia" w:eastAsia="宋体" w:cs="Times New Roman"/>
                <w:kern w:val="2"/>
                <w:sz w:val="21"/>
                <w:lang w:val="en-US" w:eastAsia="zh-CN" w:bidi="ar-SA"/>
              </w:rPr>
              <w:t>等人     审批：</w:t>
            </w:r>
            <w:r>
              <w:rPr>
                <w:rFonts w:hint="eastAsia" w:cs="Times New Roman"/>
                <w:kern w:val="2"/>
                <w:sz w:val="21"/>
                <w:lang w:val="en-US" w:eastAsia="zh-CN" w:bidi="ar-SA"/>
              </w:rPr>
              <w:t>沈方根</w:t>
            </w:r>
            <w:r>
              <w:rPr>
                <w:rFonts w:hint="eastAsia" w:eastAsia="宋体" w:cs="Times New Roman"/>
                <w:kern w:val="2"/>
                <w:sz w:val="21"/>
                <w:lang w:val="en-US" w:eastAsia="zh-CN" w:bidi="ar-SA"/>
              </w:rPr>
              <w:t xml:space="preserve">    2021年1月12日</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通过对“中华人民共和国节约能源法”、“中华人民共和国再生能源法”“中华人民共和国电力法”、“高能耗落后机电设备（产品）淘汰目录（第一至第四批）”、“浙江省节约能源条例”、“国务院关于印发“十三五”节能减排综合工作方案的通知”、“GB17167-20</w:t>
            </w:r>
            <w:r>
              <w:rPr>
                <w:rFonts w:hint="eastAsia" w:cs="Times New Roman"/>
                <w:kern w:val="2"/>
                <w:sz w:val="21"/>
                <w:lang w:val="en-US" w:eastAsia="zh-CN" w:bidi="ar-SA"/>
              </w:rPr>
              <w:t>15</w:t>
            </w:r>
            <w:r>
              <w:rPr>
                <w:rFonts w:hint="eastAsia" w:eastAsia="宋体" w:cs="Times New Roman"/>
                <w:kern w:val="2"/>
                <w:sz w:val="21"/>
                <w:lang w:val="en-US" w:eastAsia="zh-CN" w:bidi="ar-SA"/>
              </w:rPr>
              <w:t xml:space="preserve"> 用能单位能源计量器具配备及管理导则”等逐条合规性评价，</w:t>
            </w:r>
          </w:p>
          <w:p>
            <w:pPr>
              <w:pStyle w:val="2"/>
              <w:rPr>
                <w:rFonts w:hint="eastAsia" w:ascii="Times New Roman" w:hAnsi="Times New Roman" w:eastAsia="宋体" w:cs="Times New Roman"/>
                <w:kern w:val="2"/>
                <w:sz w:val="21"/>
                <w:lang w:val="en-US" w:eastAsia="zh-CN" w:bidi="ar-SA"/>
              </w:rPr>
            </w:pPr>
            <w:r>
              <w:rPr>
                <w:rFonts w:hint="eastAsia" w:eastAsia="宋体" w:cs="Times New Roman"/>
                <w:kern w:val="2"/>
                <w:sz w:val="21"/>
                <w:lang w:val="en-US" w:eastAsia="zh-CN" w:bidi="ar-SA"/>
              </w:rPr>
              <w:t>评价结论是：全部符合。</w:t>
            </w:r>
          </w:p>
        </w:tc>
        <w:tc>
          <w:tcPr>
            <w:tcW w:w="792" w:type="dxa"/>
          </w:tcPr>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ascii="宋体" w:hAnsi="宋体"/>
                <w:szCs w:val="21"/>
                <w:lang w:val="en-US" w:eastAsia="zh-CN"/>
              </w:rPr>
            </w:pPr>
            <w:r>
              <w:rPr>
                <w:rFonts w:hint="eastAsia" w:ascii="宋体" w:hAnsi="宋体"/>
                <w:szCs w:val="21"/>
                <w:lang w:val="en-US" w:eastAsia="zh-CN"/>
              </w:rPr>
              <w:t>内部审核</w:t>
            </w:r>
          </w:p>
        </w:tc>
        <w:tc>
          <w:tcPr>
            <w:tcW w:w="960" w:type="dxa"/>
          </w:tcPr>
          <w:p>
            <w:pPr>
              <w:rPr>
                <w:rFonts w:hint="default"/>
                <w:lang w:val="en-US" w:eastAsia="zh-CN"/>
              </w:rPr>
            </w:pPr>
            <w:r>
              <w:rPr>
                <w:rFonts w:hint="eastAsia"/>
                <w:lang w:val="en-US" w:eastAsia="zh-CN"/>
              </w:rPr>
              <w:t>En9.2</w:t>
            </w:r>
          </w:p>
        </w:tc>
        <w:tc>
          <w:tcPr>
            <w:tcW w:w="10797" w:type="dxa"/>
          </w:tcPr>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策划编制有《内部审核控制程序》，内容规定了公司为了验证能源管理体系是否符合标准的要求，是否得到有效实施，保持和持续改进，为能源管理体系保持有效运行提供证据开展的活动。并规定了每年内审至少一次，当发生重大变更可增加审核次数。</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公司自能源管理体系运行以来，策划实施了一次内部审核。</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 xml:space="preserve">出示《能源内部审核计划》  编审批齐全         </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内审日期：2021年</w:t>
            </w:r>
            <w:r>
              <w:rPr>
                <w:rFonts w:hint="eastAsia" w:cs="Times New Roman"/>
                <w:kern w:val="2"/>
                <w:sz w:val="21"/>
                <w:lang w:val="en-US" w:eastAsia="zh-CN" w:bidi="ar-SA"/>
              </w:rPr>
              <w:t>6</w:t>
            </w:r>
            <w:r>
              <w:rPr>
                <w:rFonts w:hint="eastAsia" w:eastAsia="宋体" w:cs="Times New Roman"/>
                <w:kern w:val="2"/>
                <w:sz w:val="21"/>
                <w:lang w:val="en-US" w:eastAsia="zh-CN" w:bidi="ar-SA"/>
              </w:rPr>
              <w:t>月</w:t>
            </w:r>
            <w:r>
              <w:rPr>
                <w:rFonts w:hint="eastAsia" w:cs="Times New Roman"/>
                <w:kern w:val="2"/>
                <w:sz w:val="21"/>
                <w:lang w:val="en-US" w:eastAsia="zh-CN" w:bidi="ar-SA"/>
              </w:rPr>
              <w:t>3</w:t>
            </w:r>
            <w:r>
              <w:rPr>
                <w:rFonts w:hint="eastAsia" w:eastAsia="宋体" w:cs="Times New Roman"/>
                <w:kern w:val="2"/>
                <w:sz w:val="21"/>
                <w:lang w:val="en-US" w:eastAsia="zh-CN" w:bidi="ar-SA"/>
              </w:rPr>
              <w:t>0日</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成立了内审组（二人均取得内审员证书）分二个组进行审核，分工基本合理，内审员未审核本部门，具有公正性。</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内审计划内容包括内审目的、范围、依据和方法，基本覆盖能源标准全条款以及公司涉及的部门和场所，出示内审检查记录，记录内容基本按照内审计划安排进行，记录较为简单（口头沟通）</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本次内审发现一项不符合，发现部门：生产部。</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不符合事实：</w:t>
            </w:r>
            <w:r>
              <w:rPr>
                <w:rFonts w:hint="eastAsia" w:cs="Times New Roman"/>
                <w:kern w:val="2"/>
                <w:sz w:val="21"/>
                <w:lang w:val="en-US" w:eastAsia="zh-CN" w:bidi="ar-SA"/>
              </w:rPr>
              <w:t>提供的数据搜集计划未覆盖智能高速辊版铝塑/铝泡罩包装机</w:t>
            </w:r>
            <w:r>
              <w:rPr>
                <w:rFonts w:hint="eastAsia" w:eastAsia="宋体" w:cs="Times New Roman"/>
                <w:kern w:val="2"/>
                <w:sz w:val="21"/>
                <w:lang w:val="en-US" w:eastAsia="zh-CN" w:bidi="ar-SA"/>
              </w:rPr>
              <w:t>。判</w:t>
            </w:r>
            <w:r>
              <w:rPr>
                <w:rFonts w:hint="eastAsia" w:cs="Times New Roman"/>
                <w:kern w:val="2"/>
                <w:sz w:val="21"/>
                <w:lang w:val="en-US" w:eastAsia="zh-CN" w:bidi="ar-SA"/>
              </w:rPr>
              <w:t>一般</w:t>
            </w:r>
            <w:r>
              <w:rPr>
                <w:rFonts w:hint="eastAsia" w:eastAsia="宋体" w:cs="Times New Roman"/>
                <w:kern w:val="2"/>
                <w:sz w:val="21"/>
                <w:lang w:val="en-US" w:eastAsia="zh-CN" w:bidi="ar-SA"/>
              </w:rPr>
              <w:t>不符合</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公司组织对不符合项进行了原因分析，制订了相应纠正/纠正措施（</w:t>
            </w:r>
            <w:r>
              <w:rPr>
                <w:rFonts w:hint="eastAsia" w:cs="Times New Roman"/>
                <w:kern w:val="2"/>
                <w:sz w:val="21"/>
                <w:lang w:val="en-US" w:eastAsia="zh-CN" w:bidi="ar-SA"/>
              </w:rPr>
              <w:t>数据搜集计划覆盖智能高速辊版铝塑/铝泡罩包装机</w:t>
            </w:r>
            <w:r>
              <w:rPr>
                <w:rFonts w:hint="eastAsia" w:eastAsia="宋体" w:cs="Times New Roman"/>
                <w:kern w:val="2"/>
                <w:sz w:val="21"/>
                <w:lang w:val="en-US" w:eastAsia="zh-CN" w:bidi="ar-SA"/>
              </w:rPr>
              <w:t>），目前纠正措施正在实施之中（正在督促监督完成）。</w:t>
            </w:r>
          </w:p>
          <w:p>
            <w:pPr>
              <w:pStyle w:val="2"/>
              <w:ind w:left="0" w:leftChars="0" w:firstLine="0" w:firstLineChars="0"/>
              <w:rPr>
                <w:rFonts w:hint="eastAsia" w:eastAsia="宋体" w:cs="Times New Roman"/>
                <w:kern w:val="2"/>
                <w:sz w:val="21"/>
                <w:lang w:val="en-US" w:eastAsia="zh-CN" w:bidi="ar-SA"/>
              </w:rPr>
            </w:pPr>
            <w:r>
              <w:rPr>
                <w:rFonts w:hint="eastAsia" w:eastAsia="宋体" w:cs="Times New Roman"/>
                <w:kern w:val="2"/>
                <w:sz w:val="21"/>
                <w:lang w:val="en-US" w:eastAsia="zh-CN" w:bidi="ar-SA"/>
              </w:rPr>
              <w:t>出示《能源管理体系内审报告》内审结论：公司建立的能源管理体系基本符合标准要求，适宜公司现状，能源管理体系运行基本有效。</w:t>
            </w:r>
          </w:p>
          <w:p>
            <w:pPr>
              <w:pStyle w:val="2"/>
              <w:rPr>
                <w:rFonts w:hint="eastAsia" w:ascii="Times New Roman" w:hAnsi="Times New Roman" w:eastAsia="宋体" w:cs="Times New Roman"/>
                <w:kern w:val="2"/>
                <w:sz w:val="21"/>
                <w:lang w:val="en-US" w:eastAsia="zh-CN" w:bidi="ar-SA"/>
              </w:rPr>
            </w:pPr>
            <w:r>
              <w:rPr>
                <w:rFonts w:hint="eastAsia" w:eastAsia="宋体" w:cs="Times New Roman"/>
                <w:kern w:val="2"/>
                <w:sz w:val="21"/>
                <w:lang w:val="en-US" w:eastAsia="zh-CN" w:bidi="ar-SA"/>
              </w:rPr>
              <w:t>“内审报告”编审批齐全，并发放至公司领导及各部门。</w:t>
            </w:r>
          </w:p>
        </w:tc>
        <w:tc>
          <w:tcPr>
            <w:tcW w:w="792" w:type="dxa"/>
          </w:tcPr>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160" w:type="dxa"/>
          </w:tcPr>
          <w:p>
            <w:pPr>
              <w:rPr>
                <w:rFonts w:hint="default"/>
                <w:lang w:val="en-US" w:eastAsia="zh-CN"/>
              </w:rPr>
            </w:pPr>
            <w:r>
              <w:rPr>
                <w:rFonts w:hint="eastAsia"/>
                <w:lang w:val="en-US" w:eastAsia="zh-CN"/>
              </w:rPr>
              <w:t>不符合纠正/持续改进</w:t>
            </w:r>
          </w:p>
        </w:tc>
        <w:tc>
          <w:tcPr>
            <w:tcW w:w="960" w:type="dxa"/>
          </w:tcPr>
          <w:p>
            <w:pPr>
              <w:rPr>
                <w:rFonts w:hint="eastAsia"/>
                <w:lang w:val="en-US" w:eastAsia="zh-CN"/>
              </w:rPr>
            </w:pPr>
            <w:r>
              <w:rPr>
                <w:rFonts w:hint="eastAsia"/>
                <w:lang w:val="en-US" w:eastAsia="zh-CN"/>
              </w:rPr>
              <w:t>En10.1/</w:t>
            </w:r>
          </w:p>
          <w:p>
            <w:pPr>
              <w:pStyle w:val="2"/>
              <w:rPr>
                <w:rFonts w:hint="default"/>
                <w:lang w:val="en-US" w:eastAsia="zh-CN"/>
              </w:rPr>
            </w:pPr>
            <w:r>
              <w:rPr>
                <w:rFonts w:hint="eastAsia" w:ascii="Times New Roman" w:hAnsi="Times New Roman" w:eastAsia="宋体" w:cs="Times New Roman"/>
                <w:kern w:val="2"/>
                <w:sz w:val="21"/>
                <w:szCs w:val="22"/>
                <w:lang w:val="en-US" w:eastAsia="zh-CN" w:bidi="ar-SA"/>
              </w:rPr>
              <w:t>10.2</w:t>
            </w:r>
          </w:p>
        </w:tc>
        <w:tc>
          <w:tcPr>
            <w:tcW w:w="10797" w:type="dxa"/>
          </w:tcPr>
          <w:p>
            <w:pPr>
              <w:pStyle w:val="2"/>
              <w:ind w:left="0" w:leftChars="0" w:firstLine="0" w:firstLineChars="0"/>
              <w:rPr>
                <w:rFonts w:hint="eastAsia" w:ascii="Times New Roman" w:hAnsi="Times New Roman" w:cs="Times New Roman"/>
                <w:kern w:val="2"/>
                <w:sz w:val="20"/>
                <w:szCs w:val="22"/>
                <w:lang w:val="en-US" w:eastAsia="zh-CN" w:bidi="ar-SA"/>
              </w:rPr>
            </w:pPr>
            <w:r>
              <w:rPr>
                <w:rFonts w:hint="eastAsia" w:ascii="Times New Roman" w:hAnsi="Times New Roman" w:cs="Times New Roman"/>
                <w:kern w:val="2"/>
                <w:sz w:val="20"/>
                <w:szCs w:val="22"/>
                <w:lang w:val="en-US" w:eastAsia="zh-CN" w:bidi="ar-SA"/>
              </w:rPr>
              <w:t>2021年1-</w:t>
            </w:r>
            <w:r>
              <w:rPr>
                <w:rFonts w:hint="eastAsia" w:cs="Times New Roman"/>
                <w:kern w:val="2"/>
                <w:sz w:val="20"/>
                <w:szCs w:val="22"/>
                <w:lang w:val="en-US" w:eastAsia="zh-CN" w:bidi="ar-SA"/>
              </w:rPr>
              <w:t>7</w:t>
            </w:r>
            <w:r>
              <w:rPr>
                <w:rFonts w:hint="eastAsia" w:ascii="Times New Roman" w:hAnsi="Times New Roman" w:cs="Times New Roman"/>
                <w:kern w:val="2"/>
                <w:sz w:val="20"/>
                <w:szCs w:val="22"/>
                <w:lang w:val="en-US" w:eastAsia="zh-CN" w:bidi="ar-SA"/>
              </w:rPr>
              <w:t>月份完成情况为：</w:t>
            </w:r>
            <w:r>
              <w:rPr>
                <w:rFonts w:hint="eastAsia" w:ascii="Times New Roman" w:hAnsi="Times New Roman" w:eastAsia="宋体" w:cs="Times New Roman"/>
                <w:kern w:val="2"/>
                <w:sz w:val="20"/>
                <w:szCs w:val="22"/>
                <w:lang w:val="en-US" w:eastAsia="zh-CN" w:bidi="ar-SA"/>
              </w:rPr>
              <w:t>单位产品能耗</w:t>
            </w:r>
            <w:r>
              <w:rPr>
                <w:rFonts w:hint="eastAsia" w:cs="Times New Roman"/>
                <w:kern w:val="2"/>
                <w:sz w:val="20"/>
                <w:szCs w:val="22"/>
                <w:lang w:val="en-US" w:eastAsia="zh-CN" w:bidi="ar-SA"/>
              </w:rPr>
              <w:t>39.75</w:t>
            </w:r>
            <w:r>
              <w:rPr>
                <w:rFonts w:hint="eastAsia" w:ascii="Times New Roman" w:hAnsi="Times New Roman" w:eastAsia="宋体" w:cs="Times New Roman"/>
                <w:kern w:val="2"/>
                <w:sz w:val="20"/>
                <w:szCs w:val="22"/>
                <w:lang w:val="en-US" w:eastAsia="zh-CN" w:bidi="ar-SA"/>
              </w:rPr>
              <w:t>kgce/</w:t>
            </w:r>
            <w:r>
              <w:rPr>
                <w:rFonts w:hint="eastAsia" w:cs="Times New Roman"/>
                <w:kern w:val="2"/>
                <w:sz w:val="20"/>
                <w:szCs w:val="22"/>
                <w:lang w:val="en-US" w:eastAsia="zh-CN" w:bidi="ar-SA"/>
              </w:rPr>
              <w:t>台</w:t>
            </w:r>
            <w:r>
              <w:rPr>
                <w:rFonts w:hint="eastAsia" w:ascii="Times New Roman" w:hAnsi="Times New Roman" w:cs="Times New Roman"/>
                <w:kern w:val="2"/>
                <w:sz w:val="20"/>
                <w:szCs w:val="22"/>
                <w:lang w:val="en-US" w:eastAsia="zh-CN" w:bidi="ar-SA"/>
              </w:rPr>
              <w:t>.</w:t>
            </w:r>
          </w:p>
          <w:p>
            <w:pPr>
              <w:pStyle w:val="2"/>
              <w:ind w:left="0" w:leftChars="0" w:firstLine="0" w:firstLineChars="0"/>
              <w:rPr>
                <w:rFonts w:hint="eastAsia" w:ascii="Times New Roman" w:hAnsi="Times New Roman" w:cs="Times New Roman"/>
                <w:kern w:val="2"/>
                <w:sz w:val="20"/>
                <w:szCs w:val="22"/>
                <w:lang w:val="en-US" w:eastAsia="zh-CN" w:bidi="ar-SA"/>
              </w:rPr>
            </w:pPr>
            <w:r>
              <w:rPr>
                <w:rFonts w:hint="eastAsia" w:cs="Times New Roman"/>
                <w:kern w:val="2"/>
                <w:sz w:val="20"/>
                <w:szCs w:val="22"/>
                <w:lang w:val="en-US" w:eastAsia="zh-CN" w:bidi="ar-SA"/>
              </w:rPr>
              <w:t>2021年1-7月份的单位产品能耗超过了制定的目标</w:t>
            </w:r>
            <w:r>
              <w:rPr>
                <w:rFonts w:hint="eastAsia" w:ascii="Times New Roman" w:hAnsi="Times New Roman" w:cs="Times New Roman"/>
                <w:kern w:val="2"/>
                <w:sz w:val="20"/>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eastAsia="宋体"/>
                <w:lang w:val="en-US" w:eastAsia="zh-CN"/>
              </w:rPr>
            </w:pPr>
            <w:r>
              <w:rPr>
                <w:rFonts w:hint="eastAsia"/>
                <w:color w:val="0000FF"/>
                <w:lang w:val="en-US" w:eastAsia="zh-CN"/>
              </w:rPr>
              <w:t>企业没有进行分析原因，并制定节能措施。</w:t>
            </w:r>
          </w:p>
        </w:tc>
        <w:tc>
          <w:tcPr>
            <w:tcW w:w="792" w:type="dxa"/>
          </w:tcPr>
          <w:p>
            <w:pPr>
              <w:pStyle w:val="2"/>
              <w:ind w:left="0" w:leftChars="0" w:firstLine="0" w:firstLineChars="0"/>
            </w:pPr>
          </w:p>
          <w:p>
            <w:pPr>
              <w:pStyle w:val="2"/>
              <w:ind w:left="0" w:leftChars="0" w:firstLine="0" w:firstLineChars="0"/>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160" w:type="dxa"/>
          </w:tcPr>
          <w:p>
            <w:pPr>
              <w:rPr>
                <w:rFonts w:hint="default"/>
                <w:lang w:val="en-US" w:eastAsia="zh-CN"/>
              </w:rPr>
            </w:pPr>
            <w:r>
              <w:rPr>
                <w:rFonts w:hint="eastAsia" w:ascii="宋体" w:hAnsi="宋体"/>
                <w:szCs w:val="21"/>
                <w:lang w:val="en-US" w:eastAsia="zh-CN"/>
              </w:rPr>
              <w:t>现场巡视、夜班巡查及交接班查看。</w:t>
            </w:r>
          </w:p>
        </w:tc>
        <w:tc>
          <w:tcPr>
            <w:tcW w:w="960" w:type="dxa"/>
          </w:tcPr>
          <w:p>
            <w:pPr>
              <w:pStyle w:val="2"/>
              <w:rPr>
                <w:rFonts w:hint="eastAsia" w:ascii="Times New Roman" w:hAnsi="Times New Roman" w:eastAsia="宋体" w:cs="Times New Roman"/>
                <w:kern w:val="2"/>
                <w:sz w:val="21"/>
                <w:szCs w:val="22"/>
                <w:lang w:val="en-US" w:eastAsia="zh-CN" w:bidi="ar-SA"/>
              </w:rPr>
            </w:pPr>
          </w:p>
        </w:tc>
        <w:tc>
          <w:tcPr>
            <w:tcW w:w="10797"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时间：2021.8.26，6:00-8:00</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现场发现，车间加工班没有夜班，当有急迫生产任务时才加工，变电所有夜班；</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lang w:val="en-US" w:eastAsia="zh-CN"/>
              </w:rPr>
            </w:pPr>
            <w:r>
              <w:rPr>
                <w:rFonts w:hint="default"/>
                <w:lang w:val="en-US" w:eastAsia="zh-CN"/>
              </w:rPr>
              <w:drawing>
                <wp:inline distT="0" distB="0" distL="114300" distR="114300">
                  <wp:extent cx="3223895" cy="2418080"/>
                  <wp:effectExtent l="0" t="0" r="1905" b="7620"/>
                  <wp:docPr id="3" name="图片 3" descr="fe11a658e4dc50d27090ef5626a4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11a658e4dc50d27090ef5626a4fda"/>
                          <pic:cNvPicPr>
                            <a:picLocks noChangeAspect="1"/>
                          </pic:cNvPicPr>
                        </pic:nvPicPr>
                        <pic:blipFill>
                          <a:blip r:embed="rId17"/>
                          <a:stretch>
                            <a:fillRect/>
                          </a:stretch>
                        </pic:blipFill>
                        <pic:spPr>
                          <a:xfrm>
                            <a:off x="0" y="0"/>
                            <a:ext cx="3223895" cy="241808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3209290" cy="2406650"/>
                  <wp:effectExtent l="0" t="0" r="3810" b="6350"/>
                  <wp:docPr id="4" name="图片 4" descr="dddf478f59098c71af1366365c44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df478f59098c71af1366365c4411e"/>
                          <pic:cNvPicPr>
                            <a:picLocks noChangeAspect="1"/>
                          </pic:cNvPicPr>
                        </pic:nvPicPr>
                        <pic:blipFill>
                          <a:blip r:embed="rId18"/>
                          <a:stretch>
                            <a:fillRect/>
                          </a:stretch>
                        </pic:blipFill>
                        <pic:spPr>
                          <a:xfrm>
                            <a:off x="0" y="0"/>
                            <a:ext cx="3209290" cy="2406650"/>
                          </a:xfrm>
                          <a:prstGeom prst="rect">
                            <a:avLst/>
                          </a:prstGeom>
                        </pic:spPr>
                      </pic:pic>
                    </a:graphicData>
                  </a:graphic>
                </wp:inline>
              </w:drawing>
            </w: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drawing>
                <wp:inline distT="0" distB="0" distL="114300" distR="114300">
                  <wp:extent cx="2750185" cy="2063115"/>
                  <wp:effectExtent l="0" t="0" r="5715" b="6985"/>
                  <wp:docPr id="5" name="图片 5" descr="862f08c5983c4fb544a026a1471a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62f08c5983c4fb544a026a1471a904"/>
                          <pic:cNvPicPr>
                            <a:picLocks noChangeAspect="1"/>
                          </pic:cNvPicPr>
                        </pic:nvPicPr>
                        <pic:blipFill>
                          <a:blip r:embed="rId19"/>
                          <a:stretch>
                            <a:fillRect/>
                          </a:stretch>
                        </pic:blipFill>
                        <pic:spPr>
                          <a:xfrm>
                            <a:off x="0" y="0"/>
                            <a:ext cx="2750185" cy="2063115"/>
                          </a:xfrm>
                          <a:prstGeom prst="rect">
                            <a:avLst/>
                          </a:prstGeom>
                        </pic:spPr>
                      </pic:pic>
                    </a:graphicData>
                  </a:graphic>
                </wp:inline>
              </w:drawing>
            </w:r>
            <w:r>
              <w:rPr>
                <w:rFonts w:hint="eastAsia" w:cs="Times New Roman"/>
                <w:szCs w:val="22"/>
                <w:lang w:val="en-US" w:eastAsia="zh-CN"/>
              </w:rPr>
              <w:t xml:space="preserve">     </w:t>
            </w:r>
            <w:r>
              <w:rPr>
                <w:rFonts w:hint="default" w:ascii="Times New Roman" w:hAnsi="Times New Roman" w:eastAsia="宋体" w:cs="Times New Roman"/>
                <w:szCs w:val="22"/>
                <w:lang w:val="en-US" w:eastAsia="zh-CN"/>
              </w:rPr>
              <w:drawing>
                <wp:inline distT="0" distB="0" distL="114300" distR="114300">
                  <wp:extent cx="2689225" cy="2017395"/>
                  <wp:effectExtent l="0" t="0" r="3175" b="1905"/>
                  <wp:docPr id="7" name="图片 7" descr="fa6aa3cd383f05fb42c327b24d7b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6aa3cd383f05fb42c327b24d7baaf"/>
                          <pic:cNvPicPr>
                            <a:picLocks noChangeAspect="1"/>
                          </pic:cNvPicPr>
                        </pic:nvPicPr>
                        <pic:blipFill>
                          <a:blip r:embed="rId20"/>
                          <a:stretch>
                            <a:fillRect/>
                          </a:stretch>
                        </pic:blipFill>
                        <pic:spPr>
                          <a:xfrm>
                            <a:off x="0" y="0"/>
                            <a:ext cx="2689225" cy="2017395"/>
                          </a:xfrm>
                          <a:prstGeom prst="rect">
                            <a:avLst/>
                          </a:prstGeom>
                        </pic:spPr>
                      </pic:pic>
                    </a:graphicData>
                  </a:graphic>
                </wp:inline>
              </w:drawing>
            </w: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drawing>
                <wp:inline distT="0" distB="0" distL="114300" distR="114300">
                  <wp:extent cx="2951480" cy="2214245"/>
                  <wp:effectExtent l="0" t="0" r="7620" b="8255"/>
                  <wp:docPr id="17" name="图片 17" descr="c3d72f9f0e1fc3eb20fd6b6a8964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3d72f9f0e1fc3eb20fd6b6a896436f"/>
                          <pic:cNvPicPr>
                            <a:picLocks noChangeAspect="1"/>
                          </pic:cNvPicPr>
                        </pic:nvPicPr>
                        <pic:blipFill>
                          <a:blip r:embed="rId21"/>
                          <a:stretch>
                            <a:fillRect/>
                          </a:stretch>
                        </pic:blipFill>
                        <pic:spPr>
                          <a:xfrm>
                            <a:off x="0" y="0"/>
                            <a:ext cx="2951480" cy="2214245"/>
                          </a:xfrm>
                          <a:prstGeom prst="rect">
                            <a:avLst/>
                          </a:prstGeom>
                        </pic:spPr>
                      </pic:pic>
                    </a:graphicData>
                  </a:graphic>
                </wp:inline>
              </w:drawing>
            </w:r>
            <w:r>
              <w:rPr>
                <w:rFonts w:hint="eastAsia" w:cs="Times New Roman"/>
                <w:szCs w:val="22"/>
                <w:lang w:val="en-US" w:eastAsia="zh-CN"/>
              </w:rPr>
              <w:t xml:space="preserve">    </w:t>
            </w:r>
            <w:r>
              <w:rPr>
                <w:rFonts w:hint="default" w:ascii="Times New Roman" w:hAnsi="Times New Roman" w:eastAsia="宋体" w:cs="Times New Roman"/>
                <w:szCs w:val="22"/>
                <w:lang w:val="en-US" w:eastAsia="zh-CN"/>
              </w:rPr>
              <w:drawing>
                <wp:inline distT="0" distB="0" distL="114300" distR="114300">
                  <wp:extent cx="2940685" cy="2205990"/>
                  <wp:effectExtent l="0" t="0" r="5715" b="3810"/>
                  <wp:docPr id="18" name="图片 18" descr="667793da12c597fd7b49b2427924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67793da12c597fd7b49b24279241eb"/>
                          <pic:cNvPicPr>
                            <a:picLocks noChangeAspect="1"/>
                          </pic:cNvPicPr>
                        </pic:nvPicPr>
                        <pic:blipFill>
                          <a:blip r:embed="rId22"/>
                          <a:stretch>
                            <a:fillRect/>
                          </a:stretch>
                        </pic:blipFill>
                        <pic:spPr>
                          <a:xfrm>
                            <a:off x="0" y="0"/>
                            <a:ext cx="2940685" cy="2205990"/>
                          </a:xfrm>
                          <a:prstGeom prst="rect">
                            <a:avLst/>
                          </a:prstGeom>
                        </pic:spPr>
                      </pic:pic>
                    </a:graphicData>
                  </a:graphic>
                </wp:inline>
              </w:drawing>
            </w: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drawing>
                <wp:inline distT="0" distB="0" distL="114300" distR="114300">
                  <wp:extent cx="2721610" cy="2040890"/>
                  <wp:effectExtent l="0" t="0" r="8890" b="3810"/>
                  <wp:docPr id="20" name="图片 20" descr="91404338daf5de7d3eec941f2eb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1404338daf5de7d3eec941f2eb6242"/>
                          <pic:cNvPicPr>
                            <a:picLocks noChangeAspect="1"/>
                          </pic:cNvPicPr>
                        </pic:nvPicPr>
                        <pic:blipFill>
                          <a:blip r:embed="rId23"/>
                          <a:stretch>
                            <a:fillRect/>
                          </a:stretch>
                        </pic:blipFill>
                        <pic:spPr>
                          <a:xfrm>
                            <a:off x="0" y="0"/>
                            <a:ext cx="2721610" cy="2040890"/>
                          </a:xfrm>
                          <a:prstGeom prst="rect">
                            <a:avLst/>
                          </a:prstGeom>
                        </pic:spPr>
                      </pic:pic>
                    </a:graphicData>
                  </a:graphic>
                </wp:inline>
              </w:drawing>
            </w:r>
            <w:r>
              <w:rPr>
                <w:rFonts w:hint="eastAsia" w:cs="Times New Roman"/>
                <w:szCs w:val="22"/>
                <w:lang w:val="en-US" w:eastAsia="zh-CN"/>
              </w:rPr>
              <w:t xml:space="preserve">   </w:t>
            </w:r>
            <w:r>
              <w:rPr>
                <w:rFonts w:hint="default" w:ascii="Times New Roman" w:hAnsi="Times New Roman" w:eastAsia="宋体" w:cs="Times New Roman"/>
                <w:szCs w:val="22"/>
                <w:lang w:val="en-US" w:eastAsia="zh-CN"/>
              </w:rPr>
              <w:drawing>
                <wp:inline distT="0" distB="0" distL="114300" distR="114300">
                  <wp:extent cx="2721610" cy="2040890"/>
                  <wp:effectExtent l="0" t="0" r="8890" b="3810"/>
                  <wp:docPr id="21" name="图片 21" descr="0402df1f0cfd2f85bd9aec53a1b2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402df1f0cfd2f85bd9aec53a1b20aa"/>
                          <pic:cNvPicPr>
                            <a:picLocks noChangeAspect="1"/>
                          </pic:cNvPicPr>
                        </pic:nvPicPr>
                        <pic:blipFill>
                          <a:blip r:embed="rId24"/>
                          <a:stretch>
                            <a:fillRect/>
                          </a:stretch>
                        </pic:blipFill>
                        <pic:spPr>
                          <a:xfrm>
                            <a:off x="0" y="0"/>
                            <a:ext cx="2721610" cy="204089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szCs w:val="22"/>
                <w:lang w:val="en-US" w:eastAsia="zh-CN"/>
              </w:rPr>
            </w:pPr>
            <w:r>
              <w:rPr>
                <w:rFonts w:hint="eastAsia" w:cs="Times New Roman"/>
                <w:szCs w:val="22"/>
                <w:lang w:val="en-US" w:eastAsia="zh-CN"/>
              </w:rPr>
              <w:t xml:space="preserve">  </w:t>
            </w:r>
            <w:r>
              <w:rPr>
                <w:rFonts w:hint="default" w:ascii="Times New Roman" w:hAnsi="Times New Roman" w:eastAsia="宋体" w:cs="Times New Roman"/>
                <w:szCs w:val="22"/>
                <w:lang w:val="en-US" w:eastAsia="zh-CN"/>
              </w:rPr>
              <w:drawing>
                <wp:inline distT="0" distB="0" distL="114300" distR="114300">
                  <wp:extent cx="2831465" cy="2124075"/>
                  <wp:effectExtent l="0" t="0" r="635" b="9525"/>
                  <wp:docPr id="22" name="图片 22" descr="21e40c52ff4baadd1acf9daa2afa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1e40c52ff4baadd1acf9daa2afae44"/>
                          <pic:cNvPicPr>
                            <a:picLocks noChangeAspect="1"/>
                          </pic:cNvPicPr>
                        </pic:nvPicPr>
                        <pic:blipFill>
                          <a:blip r:embed="rId25"/>
                          <a:stretch>
                            <a:fillRect/>
                          </a:stretch>
                        </pic:blipFill>
                        <pic:spPr>
                          <a:xfrm>
                            <a:off x="0" y="0"/>
                            <a:ext cx="2831465" cy="2124075"/>
                          </a:xfrm>
                          <a:prstGeom prst="rect">
                            <a:avLst/>
                          </a:prstGeom>
                        </pic:spPr>
                      </pic:pic>
                    </a:graphicData>
                  </a:graphic>
                </wp:inline>
              </w:drawing>
            </w:r>
            <w:r>
              <w:rPr>
                <w:rFonts w:hint="eastAsia" w:cs="Times New Roman"/>
                <w:szCs w:val="22"/>
                <w:lang w:val="en-US" w:eastAsia="zh-CN"/>
              </w:rPr>
              <w:t xml:space="preserve"> </w:t>
            </w:r>
            <w:r>
              <w:rPr>
                <w:rFonts w:hint="default" w:ascii="Times New Roman" w:hAnsi="Times New Roman" w:eastAsia="宋体" w:cs="Times New Roman"/>
                <w:szCs w:val="22"/>
                <w:lang w:val="en-US" w:eastAsia="zh-CN"/>
              </w:rPr>
              <w:drawing>
                <wp:inline distT="0" distB="0" distL="114300" distR="114300">
                  <wp:extent cx="2784475" cy="2087880"/>
                  <wp:effectExtent l="0" t="0" r="9525" b="7620"/>
                  <wp:docPr id="23" name="图片 23" descr="b72df655a8fd31904aac1422cea5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72df655a8fd31904aac1422cea56e8"/>
                          <pic:cNvPicPr>
                            <a:picLocks noChangeAspect="1"/>
                          </pic:cNvPicPr>
                        </pic:nvPicPr>
                        <pic:blipFill>
                          <a:blip r:embed="rId26"/>
                          <a:stretch>
                            <a:fillRect/>
                          </a:stretch>
                        </pic:blipFill>
                        <pic:spPr>
                          <a:xfrm>
                            <a:off x="0" y="0"/>
                            <a:ext cx="2784475" cy="2087880"/>
                          </a:xfrm>
                          <a:prstGeom prst="rect">
                            <a:avLst/>
                          </a:prstGeom>
                        </pic:spPr>
                      </pic:pic>
                    </a:graphicData>
                  </a:graphic>
                </wp:inline>
              </w:drawing>
            </w: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drawing>
                <wp:inline distT="0" distB="0" distL="114300" distR="114300">
                  <wp:extent cx="2857500" cy="2143760"/>
                  <wp:effectExtent l="0" t="0" r="0" b="2540"/>
                  <wp:docPr id="24" name="图片 24" descr="c6ab8a96041b1481b567fc7512b4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6ab8a96041b1481b567fc7512b470c"/>
                          <pic:cNvPicPr>
                            <a:picLocks noChangeAspect="1"/>
                          </pic:cNvPicPr>
                        </pic:nvPicPr>
                        <pic:blipFill>
                          <a:blip r:embed="rId27"/>
                          <a:stretch>
                            <a:fillRect/>
                          </a:stretch>
                        </pic:blipFill>
                        <pic:spPr>
                          <a:xfrm>
                            <a:off x="0" y="0"/>
                            <a:ext cx="2857500" cy="2143760"/>
                          </a:xfrm>
                          <a:prstGeom prst="rect">
                            <a:avLst/>
                          </a:prstGeom>
                        </pic:spPr>
                      </pic:pic>
                    </a:graphicData>
                  </a:graphic>
                </wp:inline>
              </w:drawing>
            </w:r>
            <w:r>
              <w:rPr>
                <w:rFonts w:hint="eastAsia" w:cs="Times New Roman"/>
                <w:szCs w:val="22"/>
                <w:lang w:val="en-US" w:eastAsia="zh-CN"/>
              </w:rPr>
              <w:t xml:space="preserve">  </w:t>
            </w:r>
            <w:r>
              <w:rPr>
                <w:rFonts w:hint="default" w:ascii="Times New Roman" w:hAnsi="Times New Roman" w:eastAsia="宋体" w:cs="Times New Roman"/>
                <w:szCs w:val="22"/>
                <w:lang w:val="en-US" w:eastAsia="zh-CN"/>
              </w:rPr>
              <w:drawing>
                <wp:inline distT="0" distB="0" distL="114300" distR="114300">
                  <wp:extent cx="2805430" cy="2104390"/>
                  <wp:effectExtent l="0" t="0" r="1270" b="3810"/>
                  <wp:docPr id="25" name="图片 25" descr="934d5785ec4e326ef2402411d42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34d5785ec4e326ef2402411d425166"/>
                          <pic:cNvPicPr>
                            <a:picLocks noChangeAspect="1"/>
                          </pic:cNvPicPr>
                        </pic:nvPicPr>
                        <pic:blipFill>
                          <a:blip r:embed="rId28"/>
                          <a:stretch>
                            <a:fillRect/>
                          </a:stretch>
                        </pic:blipFill>
                        <pic:spPr>
                          <a:xfrm>
                            <a:off x="0" y="0"/>
                            <a:ext cx="2805430" cy="2104390"/>
                          </a:xfrm>
                          <a:prstGeom prst="rect">
                            <a:avLst/>
                          </a:prstGeom>
                        </pic:spPr>
                      </pic:pic>
                    </a:graphicData>
                  </a:graphic>
                </wp:inline>
              </w:drawing>
            </w:r>
          </w:p>
          <w:p>
            <w:pPr>
              <w:pStyle w:val="2"/>
              <w:rPr>
                <w:rFonts w:hint="default" w:ascii="Times New Roman" w:hAnsi="Times New Roman" w:eastAsia="宋体" w:cs="Times New Roman"/>
                <w:szCs w:val="22"/>
                <w:lang w:val="en-US" w:eastAsia="zh-CN"/>
              </w:rPr>
            </w:pPr>
          </w:p>
          <w:p>
            <w:pPr>
              <w:pStyle w:val="2"/>
              <w:rPr>
                <w:rFonts w:hint="default" w:ascii="Times New Roman" w:hAnsi="Times New Roman" w:eastAsia="宋体" w:cs="Times New Roman"/>
                <w:szCs w:val="22"/>
                <w:lang w:val="en-US" w:eastAsia="zh-CN"/>
              </w:rPr>
            </w:pPr>
            <w:r>
              <w:rPr>
                <w:rFonts w:hint="default" w:ascii="Times New Roman" w:hAnsi="Times New Roman" w:eastAsia="宋体" w:cs="Times New Roman"/>
                <w:szCs w:val="22"/>
                <w:lang w:val="en-US" w:eastAsia="zh-CN"/>
              </w:rPr>
              <w:drawing>
                <wp:inline distT="0" distB="0" distL="114300" distR="114300">
                  <wp:extent cx="1942465" cy="2737485"/>
                  <wp:effectExtent l="0" t="0" r="635" b="5715"/>
                  <wp:docPr id="26" name="图片 26" descr="5bd26034a22852cdf3d2ba410af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bd26034a22852cdf3d2ba410af5895"/>
                          <pic:cNvPicPr>
                            <a:picLocks noChangeAspect="1"/>
                          </pic:cNvPicPr>
                        </pic:nvPicPr>
                        <pic:blipFill>
                          <a:blip r:embed="rId29"/>
                          <a:stretch>
                            <a:fillRect/>
                          </a:stretch>
                        </pic:blipFill>
                        <pic:spPr>
                          <a:xfrm>
                            <a:off x="0" y="0"/>
                            <a:ext cx="1942465" cy="2737485"/>
                          </a:xfrm>
                          <a:prstGeom prst="rect">
                            <a:avLst/>
                          </a:prstGeom>
                        </pic:spPr>
                      </pic:pic>
                    </a:graphicData>
                  </a:graphic>
                </wp:inline>
              </w:drawing>
            </w:r>
            <w:r>
              <w:rPr>
                <w:rFonts w:hint="eastAsia" w:cs="Times New Roman"/>
                <w:szCs w:val="22"/>
                <w:lang w:val="en-US" w:eastAsia="zh-CN"/>
              </w:rPr>
              <w:t xml:space="preserve">       </w:t>
            </w:r>
            <w:r>
              <w:rPr>
                <w:rFonts w:hint="default" w:ascii="Times New Roman" w:hAnsi="Times New Roman" w:eastAsia="宋体" w:cs="Times New Roman"/>
                <w:szCs w:val="22"/>
                <w:lang w:val="en-US" w:eastAsia="zh-CN"/>
              </w:rPr>
              <w:drawing>
                <wp:inline distT="0" distB="0" distL="114300" distR="114300">
                  <wp:extent cx="1886585" cy="2720340"/>
                  <wp:effectExtent l="0" t="0" r="5715" b="10160"/>
                  <wp:docPr id="27" name="图片 27" descr="61340d44168d9f9ba8fac7261c1e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1340d44168d9f9ba8fac7261c1e3d5"/>
                          <pic:cNvPicPr>
                            <a:picLocks noChangeAspect="1"/>
                          </pic:cNvPicPr>
                        </pic:nvPicPr>
                        <pic:blipFill>
                          <a:blip r:embed="rId30"/>
                          <a:stretch>
                            <a:fillRect/>
                          </a:stretch>
                        </pic:blipFill>
                        <pic:spPr>
                          <a:xfrm>
                            <a:off x="0" y="0"/>
                            <a:ext cx="1886585" cy="2720340"/>
                          </a:xfrm>
                          <a:prstGeom prst="rect">
                            <a:avLst/>
                          </a:prstGeom>
                        </pic:spPr>
                      </pic:pic>
                    </a:graphicData>
                  </a:graphic>
                </wp:inline>
              </w:drawing>
            </w:r>
          </w:p>
        </w:tc>
        <w:tc>
          <w:tcPr>
            <w:tcW w:w="792" w:type="dxa"/>
          </w:tcPr>
          <w:p>
            <w:pPr>
              <w:pStyle w:val="2"/>
              <w:rPr>
                <w:rFonts w:hint="eastAsia"/>
                <w:lang w:val="en-US" w:eastAsia="zh-CN"/>
              </w:rPr>
            </w:pPr>
          </w:p>
        </w:tc>
      </w:tr>
    </w:tbl>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v:textbox>
            </v:shape>
          </w:pict>
        </mc:Fallback>
      </mc:AlternateContent>
    </w:r>
    <w:r>
      <w:rPr>
        <w:rStyle w:val="17"/>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8C1E2"/>
    <w:multiLevelType w:val="singleLevel"/>
    <w:tmpl w:val="8CF8C1E2"/>
    <w:lvl w:ilvl="0" w:tentative="0">
      <w:start w:val="6"/>
      <w:numFmt w:val="chineseCounting"/>
      <w:suff w:val="nothing"/>
      <w:lvlText w:val="%1、"/>
      <w:lvlJc w:val="left"/>
      <w:rPr>
        <w:rFonts w:hint="eastAsia"/>
      </w:rPr>
    </w:lvl>
  </w:abstractNum>
  <w:abstractNum w:abstractNumId="1">
    <w:nsid w:val="05FCE0DA"/>
    <w:multiLevelType w:val="singleLevel"/>
    <w:tmpl w:val="05FCE0DA"/>
    <w:lvl w:ilvl="0" w:tentative="0">
      <w:start w:val="1"/>
      <w:numFmt w:val="decimal"/>
      <w:lvlText w:val="%1."/>
      <w:lvlJc w:val="left"/>
      <w:pPr>
        <w:tabs>
          <w:tab w:val="left" w:pos="312"/>
        </w:tabs>
      </w:pPr>
    </w:lvl>
  </w:abstractNum>
  <w:abstractNum w:abstractNumId="2">
    <w:nsid w:val="1FC91163"/>
    <w:multiLevelType w:val="multilevel"/>
    <w:tmpl w:val="1FC91163"/>
    <w:lvl w:ilvl="0" w:tentative="0">
      <w:start w:val="1"/>
      <w:numFmt w:val="japaneseCounting"/>
      <w:pStyle w:val="18"/>
      <w:suff w:val="nothing"/>
      <w:lvlText w:val="%1、"/>
      <w:lvlJc w:val="left"/>
      <w:pPr>
        <w:ind w:left="0" w:firstLine="0"/>
      </w:pPr>
      <w:rPr>
        <w:rFonts w:ascii="宋体" w:hAnsi="宋体" w:eastAsia="宋体" w:cs="Times New Roman"/>
        <w:b w:val="0"/>
        <w:i w:val="0"/>
        <w:sz w:val="28"/>
        <w:szCs w:val="28"/>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3">
    <w:nsid w:val="387C4961"/>
    <w:multiLevelType w:val="singleLevel"/>
    <w:tmpl w:val="387C4961"/>
    <w:lvl w:ilvl="0" w:tentative="0">
      <w:start w:val="2"/>
      <w:numFmt w:val="chineseCounting"/>
      <w:suff w:val="nothing"/>
      <w:lvlText w:val="%1、"/>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AA41E94"/>
    <w:rsid w:val="108219C2"/>
    <w:rsid w:val="14D55A28"/>
    <w:rsid w:val="19B83BC1"/>
    <w:rsid w:val="1D5C5E94"/>
    <w:rsid w:val="1E92443A"/>
    <w:rsid w:val="1F303612"/>
    <w:rsid w:val="25726879"/>
    <w:rsid w:val="265042EE"/>
    <w:rsid w:val="29550A82"/>
    <w:rsid w:val="2A6C0BB9"/>
    <w:rsid w:val="2CC56303"/>
    <w:rsid w:val="2E962B98"/>
    <w:rsid w:val="37022033"/>
    <w:rsid w:val="37AA0B15"/>
    <w:rsid w:val="3FD87230"/>
    <w:rsid w:val="400168D5"/>
    <w:rsid w:val="48CF77D7"/>
    <w:rsid w:val="49907112"/>
    <w:rsid w:val="4EB06CE3"/>
    <w:rsid w:val="5062731F"/>
    <w:rsid w:val="51B355DC"/>
    <w:rsid w:val="51CB0431"/>
    <w:rsid w:val="56955064"/>
    <w:rsid w:val="586D4473"/>
    <w:rsid w:val="58F45158"/>
    <w:rsid w:val="5EA12B9A"/>
    <w:rsid w:val="60A703C5"/>
    <w:rsid w:val="619A01E9"/>
    <w:rsid w:val="6A997D30"/>
    <w:rsid w:val="6B317C7C"/>
    <w:rsid w:val="6C3312C7"/>
    <w:rsid w:val="71B11962"/>
    <w:rsid w:val="72F0497F"/>
    <w:rsid w:val="75532C29"/>
    <w:rsid w:val="788C0C63"/>
    <w:rsid w:val="7AEC0F33"/>
    <w:rsid w:val="7CDA12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outlineLvl w:val="0"/>
    </w:pPr>
    <w:rPr>
      <w:b/>
      <w:sz w:val="28"/>
      <w:szCs w:val="20"/>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rPr>
      <w:sz w:val="24"/>
    </w:r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next w:val="1"/>
    <w:qFormat/>
    <w:uiPriority w:val="10"/>
    <w:pPr>
      <w:spacing w:before="240" w:after="60"/>
      <w:jc w:val="center"/>
      <w:outlineLvl w:val="0"/>
    </w:pPr>
    <w:rPr>
      <w:rFonts w:ascii="Cambria" w:hAnsi="Cambria"/>
      <w:b/>
      <w:bCs/>
      <w:sz w:val="32"/>
      <w:szCs w:val="32"/>
    </w:rPr>
  </w:style>
  <w:style w:type="table" w:styleId="11">
    <w:name w:val="Table Grid"/>
    <w:basedOn w:val="10"/>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qFormat/>
    <w:uiPriority w:val="99"/>
    <w:rPr>
      <w:color w:val="0000FF"/>
      <w:u w:val="single"/>
    </w:rPr>
  </w:style>
  <w:style w:type="character" w:customStyle="1" w:styleId="14">
    <w:name w:val="页眉 字符"/>
    <w:basedOn w:val="12"/>
    <w:link w:val="8"/>
    <w:qFormat/>
    <w:uiPriority w:val="99"/>
    <w:rPr>
      <w:rFonts w:ascii="Times New Roman" w:hAnsi="Times New Roman" w:eastAsia="宋体" w:cs="Times New Roman"/>
      <w:sz w:val="18"/>
      <w:szCs w:val="18"/>
    </w:rPr>
  </w:style>
  <w:style w:type="character" w:customStyle="1" w:styleId="15">
    <w:name w:val="页脚 字符"/>
    <w:basedOn w:val="12"/>
    <w:link w:val="7"/>
    <w:qFormat/>
    <w:uiPriority w:val="99"/>
    <w:rPr>
      <w:rFonts w:ascii="Times New Roman" w:hAnsi="Times New Roman" w:eastAsia="宋体" w:cs="Times New Roman"/>
      <w:sz w:val="18"/>
      <w:szCs w:val="18"/>
    </w:rPr>
  </w:style>
  <w:style w:type="character" w:customStyle="1" w:styleId="16">
    <w:name w:val="批注框文本 字符"/>
    <w:basedOn w:val="12"/>
    <w:link w:val="6"/>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styleId="19">
    <w:name w:val="List Paragraph"/>
    <w:basedOn w:val="1"/>
    <w:qFormat/>
    <w:uiPriority w:val="34"/>
    <w:pPr>
      <w:ind w:firstLine="420" w:firstLineChars="200"/>
    </w:pPr>
  </w:style>
  <w:style w:type="character" w:customStyle="1" w:styleId="20">
    <w:name w:val="g"/>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3</TotalTime>
  <ScaleCrop>false</ScaleCrop>
  <LinksUpToDate>false</LinksUpToDate>
  <CharactersWithSpaces>147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2021-08-31T04:21:11Z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A2A87B4AA3C04090A0C757B97B7400CA</vt:lpwstr>
  </property>
</Properties>
</file>